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19EE" w14:paraId="2E0DC750" w14:textId="77777777" w:rsidTr="008E19EE">
        <w:tc>
          <w:tcPr>
            <w:tcW w:w="3209" w:type="dxa"/>
            <w:vAlign w:val="center"/>
          </w:tcPr>
          <w:p w14:paraId="5A443B3B" w14:textId="5E39543E" w:rsidR="008E19EE" w:rsidRDefault="008E19EE" w:rsidP="008E19EE">
            <w:pPr>
              <w:jc w:val="left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</w:rPr>
              <w:drawing>
                <wp:inline distT="0" distB="0" distL="0" distR="0" wp14:anchorId="5861A4D7" wp14:editId="34FDAF89">
                  <wp:extent cx="1531620" cy="1059180"/>
                  <wp:effectExtent l="0" t="0" r="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63" cy="106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06A12FB6" w14:textId="71D823CC" w:rsidR="008E19EE" w:rsidRDefault="008E19EE" w:rsidP="008E19EE">
            <w:pPr>
              <w:jc w:val="center"/>
              <w:rPr>
                <w:rFonts w:ascii="Cambria" w:hAnsi="Cambria" w:cs="Times New Roman"/>
                <w:b/>
              </w:rPr>
            </w:pPr>
            <w:r w:rsidRPr="005C32BF">
              <w:rPr>
                <w:noProof/>
              </w:rPr>
              <w:drawing>
                <wp:inline distT="0" distB="0" distL="0" distR="0" wp14:anchorId="0BE24EA3" wp14:editId="03EF6AB5">
                  <wp:extent cx="1661160" cy="121158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70B01475" w14:textId="3AD1864B" w:rsidR="008E19EE" w:rsidRDefault="008E19EE" w:rsidP="008E19EE">
            <w:pPr>
              <w:jc w:val="right"/>
              <w:rPr>
                <w:rFonts w:ascii="Cambria" w:hAnsi="Cambria" w:cs="Times New Roman"/>
                <w:b/>
              </w:rPr>
            </w:pPr>
            <w:r w:rsidRPr="005C32BF">
              <w:rPr>
                <w:noProof/>
              </w:rPr>
              <w:drawing>
                <wp:inline distT="0" distB="0" distL="0" distR="0" wp14:anchorId="1319D1AD" wp14:editId="608D98F0">
                  <wp:extent cx="1772084" cy="737667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672" cy="77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8FC19" w14:textId="77777777" w:rsidR="007879C0" w:rsidRPr="007879C0" w:rsidRDefault="007879C0" w:rsidP="005E5E2E">
      <w:pPr>
        <w:jc w:val="center"/>
        <w:rPr>
          <w:rFonts w:ascii="Cambria" w:hAnsi="Cambria" w:cs="Times New Roman"/>
          <w:b/>
        </w:rPr>
      </w:pPr>
    </w:p>
    <w:p w14:paraId="7C7433D4" w14:textId="77777777" w:rsidR="007879C0" w:rsidRPr="007879C0" w:rsidRDefault="007879C0" w:rsidP="005E5E2E">
      <w:pPr>
        <w:jc w:val="center"/>
        <w:rPr>
          <w:rFonts w:ascii="Cambria" w:hAnsi="Cambria" w:cs="Times New Roman"/>
          <w:b/>
        </w:rPr>
      </w:pPr>
    </w:p>
    <w:p w14:paraId="1EF1C813" w14:textId="65BC1B67" w:rsidR="003B06F2" w:rsidRPr="006050B4" w:rsidRDefault="003B06F2" w:rsidP="005E5E2E">
      <w:pPr>
        <w:jc w:val="center"/>
        <w:rPr>
          <w:rFonts w:ascii="Cambria" w:hAnsi="Cambria" w:cs="Times New Roman"/>
          <w:b/>
          <w:sz w:val="28"/>
          <w:szCs w:val="28"/>
        </w:rPr>
      </w:pPr>
      <w:r w:rsidRPr="006050B4">
        <w:rPr>
          <w:rFonts w:ascii="Cambria" w:hAnsi="Cambria" w:cs="Times New Roman"/>
          <w:b/>
          <w:sz w:val="28"/>
          <w:szCs w:val="28"/>
        </w:rPr>
        <w:t>PROTOCOLLO</w:t>
      </w:r>
      <w:r w:rsidR="002A309E" w:rsidRPr="006050B4">
        <w:rPr>
          <w:rFonts w:ascii="Cambria" w:hAnsi="Cambria" w:cs="Times New Roman"/>
          <w:b/>
          <w:sz w:val="28"/>
          <w:szCs w:val="28"/>
        </w:rPr>
        <w:t xml:space="preserve"> D’INTESA</w:t>
      </w:r>
    </w:p>
    <w:p w14:paraId="3C95405E" w14:textId="77777777" w:rsidR="003B06F2" w:rsidRPr="006050B4" w:rsidRDefault="003B06F2" w:rsidP="005E5E2E">
      <w:pPr>
        <w:jc w:val="center"/>
        <w:rPr>
          <w:rFonts w:ascii="Cambria" w:hAnsi="Cambria" w:cs="Times New Roman"/>
          <w:sz w:val="28"/>
          <w:szCs w:val="28"/>
        </w:rPr>
      </w:pPr>
    </w:p>
    <w:p w14:paraId="44D32A38" w14:textId="77777777" w:rsidR="0069172F" w:rsidRPr="00AB7C17" w:rsidRDefault="0069172F" w:rsidP="005E5E2E">
      <w:pPr>
        <w:jc w:val="center"/>
        <w:rPr>
          <w:rFonts w:ascii="Cambria" w:hAnsi="Cambria" w:cs="Times New Roman"/>
          <w:sz w:val="24"/>
          <w:szCs w:val="24"/>
        </w:rPr>
      </w:pPr>
    </w:p>
    <w:p w14:paraId="7407788A" w14:textId="21E4291E" w:rsidR="003A4B98" w:rsidRPr="00AB7C17" w:rsidRDefault="003928B6" w:rsidP="005E5E2E">
      <w:pPr>
        <w:jc w:val="center"/>
        <w:rPr>
          <w:rFonts w:ascii="Cambria" w:hAnsi="Cambria" w:cs="Times New Roman"/>
          <w:sz w:val="24"/>
          <w:szCs w:val="24"/>
        </w:rPr>
      </w:pPr>
      <w:r w:rsidRPr="00AB7C17">
        <w:rPr>
          <w:rFonts w:ascii="Cambria" w:hAnsi="Cambria" w:cs="Times New Roman"/>
          <w:sz w:val="24"/>
          <w:szCs w:val="24"/>
        </w:rPr>
        <w:t xml:space="preserve"> </w:t>
      </w:r>
      <w:r w:rsidR="005E5E2E" w:rsidRPr="00AB7C17">
        <w:rPr>
          <w:rFonts w:ascii="Cambria" w:hAnsi="Cambria" w:cs="Times New Roman"/>
          <w:sz w:val="24"/>
          <w:szCs w:val="24"/>
        </w:rPr>
        <w:t xml:space="preserve">Il giorno </w:t>
      </w:r>
      <w:r w:rsidR="009B54FF">
        <w:rPr>
          <w:rFonts w:ascii="Cambria" w:hAnsi="Cambria" w:cs="Times New Roman"/>
          <w:sz w:val="24"/>
          <w:szCs w:val="24"/>
        </w:rPr>
        <w:t>03 giugno 2021</w:t>
      </w:r>
      <w:r w:rsidR="005E5E2E" w:rsidRPr="00AB7C17">
        <w:rPr>
          <w:rFonts w:ascii="Cambria" w:hAnsi="Cambria" w:cs="Times New Roman"/>
          <w:sz w:val="24"/>
          <w:szCs w:val="24"/>
        </w:rPr>
        <w:t xml:space="preserve"> in Roma</w:t>
      </w:r>
    </w:p>
    <w:p w14:paraId="5DA829F0" w14:textId="77777777" w:rsidR="005E5E2E" w:rsidRPr="00AB7C17" w:rsidRDefault="005E5E2E" w:rsidP="005E5E2E">
      <w:pPr>
        <w:jc w:val="center"/>
        <w:rPr>
          <w:rFonts w:ascii="Cambria" w:hAnsi="Cambria" w:cs="Times New Roman"/>
          <w:sz w:val="24"/>
          <w:szCs w:val="24"/>
        </w:rPr>
      </w:pPr>
    </w:p>
    <w:p w14:paraId="175DB3EE" w14:textId="297DCA03" w:rsidR="005E5E2E" w:rsidRPr="006050B4" w:rsidRDefault="006050B4" w:rsidP="005E5E2E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050B4">
        <w:rPr>
          <w:rFonts w:ascii="Cambria" w:hAnsi="Cambria" w:cs="Times New Roman"/>
          <w:b/>
          <w:bCs/>
          <w:sz w:val="24"/>
          <w:szCs w:val="24"/>
        </w:rPr>
        <w:t>TRA</w:t>
      </w:r>
    </w:p>
    <w:p w14:paraId="00CC7FD7" w14:textId="77777777" w:rsidR="005E5E2E" w:rsidRPr="00AB7C17" w:rsidRDefault="005E5E2E" w:rsidP="005E5E2E">
      <w:pPr>
        <w:rPr>
          <w:rFonts w:ascii="Cambria" w:hAnsi="Cambria" w:cs="Times New Roman"/>
          <w:sz w:val="24"/>
          <w:szCs w:val="24"/>
        </w:rPr>
      </w:pPr>
    </w:p>
    <w:p w14:paraId="40510E6F" w14:textId="691662D7" w:rsidR="003B38D6" w:rsidRPr="00AB7C17" w:rsidRDefault="00FE2F2D" w:rsidP="00D51734">
      <w:pPr>
        <w:rPr>
          <w:rFonts w:ascii="Cambria" w:hAnsi="Cambria" w:cs="Times New Roman"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>Ispettorato Territoriale del Lavoro di Roma</w:t>
      </w:r>
      <w:r w:rsidRPr="00AB7C17">
        <w:rPr>
          <w:rFonts w:ascii="Cambria" w:hAnsi="Cambria" w:cs="Times New Roman"/>
          <w:sz w:val="24"/>
          <w:szCs w:val="24"/>
        </w:rPr>
        <w:t xml:space="preserve"> (di seguito ITL Roma o Ispettorato</w:t>
      </w:r>
      <w:r w:rsidR="00C74C48" w:rsidRPr="00AB7C17">
        <w:rPr>
          <w:rFonts w:ascii="Cambria" w:hAnsi="Cambria" w:cs="Times New Roman"/>
          <w:sz w:val="24"/>
          <w:szCs w:val="24"/>
        </w:rPr>
        <w:t>)</w:t>
      </w:r>
      <w:r w:rsidRPr="00AB7C17">
        <w:rPr>
          <w:rFonts w:ascii="Cambria" w:hAnsi="Cambria" w:cs="Times New Roman"/>
          <w:sz w:val="24"/>
          <w:szCs w:val="24"/>
        </w:rPr>
        <w:t>, rappresentato da</w:t>
      </w:r>
      <w:r w:rsidR="00A379AB">
        <w:rPr>
          <w:rFonts w:ascii="Cambria" w:hAnsi="Cambria" w:cs="Times New Roman"/>
          <w:sz w:val="24"/>
          <w:szCs w:val="24"/>
        </w:rPr>
        <w:t xml:space="preserve">l </w:t>
      </w:r>
      <w:r w:rsidR="001808ED">
        <w:rPr>
          <w:rFonts w:ascii="Cambria" w:hAnsi="Cambria" w:cs="Times New Roman"/>
          <w:sz w:val="24"/>
          <w:szCs w:val="24"/>
        </w:rPr>
        <w:t>Direttore d</w:t>
      </w:r>
      <w:r w:rsidR="00A379AB">
        <w:rPr>
          <w:rFonts w:ascii="Cambria" w:hAnsi="Cambria" w:cs="Times New Roman"/>
          <w:sz w:val="24"/>
          <w:szCs w:val="24"/>
        </w:rPr>
        <w:t xml:space="preserve">ell’Ispettorato Territoriale del Lavoro di Roma </w:t>
      </w:r>
      <w:r w:rsidR="001808ED">
        <w:rPr>
          <w:rFonts w:ascii="Cambria" w:hAnsi="Cambria" w:cs="Times New Roman"/>
          <w:sz w:val="24"/>
          <w:szCs w:val="24"/>
        </w:rPr>
        <w:t>Carmina Mancino</w:t>
      </w:r>
      <w:r w:rsidR="001B5B33">
        <w:rPr>
          <w:rFonts w:ascii="Cambria" w:hAnsi="Cambria" w:cs="Times New Roman"/>
          <w:sz w:val="24"/>
          <w:szCs w:val="24"/>
        </w:rPr>
        <w:t>;</w:t>
      </w:r>
    </w:p>
    <w:p w14:paraId="1ADB388C" w14:textId="146F6F52" w:rsidR="003B38D6" w:rsidRPr="006050B4" w:rsidRDefault="006050B4" w:rsidP="00D51734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050B4">
        <w:rPr>
          <w:rFonts w:ascii="Cambria" w:hAnsi="Cambria" w:cs="Times New Roman"/>
          <w:b/>
          <w:bCs/>
          <w:sz w:val="24"/>
          <w:szCs w:val="24"/>
        </w:rPr>
        <w:t>E</w:t>
      </w:r>
    </w:p>
    <w:p w14:paraId="2F52CF61" w14:textId="120E5A29" w:rsidR="00FE2F2D" w:rsidRDefault="00FE2F2D" w:rsidP="00D51734">
      <w:pPr>
        <w:rPr>
          <w:rFonts w:ascii="Cambria" w:hAnsi="Cambria" w:cs="Times New Roman"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>Cassa Edile di Mu</w:t>
      </w:r>
      <w:r w:rsidR="00653EE6" w:rsidRPr="00AB7C17">
        <w:rPr>
          <w:rFonts w:ascii="Cambria" w:hAnsi="Cambria" w:cs="Times New Roman"/>
          <w:b/>
          <w:sz w:val="24"/>
          <w:szCs w:val="24"/>
        </w:rPr>
        <w:t>tualità e Assistenza di Roma e Provincia</w:t>
      </w:r>
      <w:r w:rsidRPr="00AB7C17">
        <w:rPr>
          <w:rFonts w:ascii="Cambria" w:hAnsi="Cambria" w:cs="Times New Roman"/>
          <w:sz w:val="24"/>
          <w:szCs w:val="24"/>
        </w:rPr>
        <w:t xml:space="preserve"> (di seguito Cassa Edile</w:t>
      </w:r>
      <w:r w:rsidR="007D6813" w:rsidRPr="00AB7C17">
        <w:rPr>
          <w:rFonts w:ascii="Cambria" w:hAnsi="Cambria" w:cs="Times New Roman"/>
          <w:sz w:val="24"/>
          <w:szCs w:val="24"/>
        </w:rPr>
        <w:t xml:space="preserve"> di Roma e </w:t>
      </w:r>
      <w:r w:rsidR="00653EE6" w:rsidRPr="00AB7C17">
        <w:rPr>
          <w:rFonts w:ascii="Cambria" w:hAnsi="Cambria" w:cs="Times New Roman"/>
          <w:sz w:val="24"/>
          <w:szCs w:val="24"/>
        </w:rPr>
        <w:t>Provincia</w:t>
      </w:r>
      <w:r w:rsidR="007D6813" w:rsidRPr="00AB7C17">
        <w:rPr>
          <w:rFonts w:ascii="Cambria" w:hAnsi="Cambria" w:cs="Times New Roman"/>
          <w:sz w:val="24"/>
          <w:szCs w:val="24"/>
        </w:rPr>
        <w:t xml:space="preserve"> o Cassa Edile</w:t>
      </w:r>
      <w:r w:rsidRPr="00AB7C17">
        <w:rPr>
          <w:rFonts w:ascii="Cambria" w:hAnsi="Cambria" w:cs="Times New Roman"/>
          <w:sz w:val="24"/>
          <w:szCs w:val="24"/>
        </w:rPr>
        <w:t>)</w:t>
      </w:r>
      <w:r w:rsidR="003B06F2" w:rsidRPr="00AB7C17">
        <w:rPr>
          <w:rFonts w:ascii="Cambria" w:hAnsi="Cambria" w:cs="Times New Roman"/>
          <w:sz w:val="24"/>
          <w:szCs w:val="24"/>
        </w:rPr>
        <w:t xml:space="preserve">, rappresentata dal Presidente Giovanbattista Daoud </w:t>
      </w:r>
      <w:proofErr w:type="spellStart"/>
      <w:r w:rsidR="003B06F2" w:rsidRPr="00AB7C17">
        <w:rPr>
          <w:rFonts w:ascii="Cambria" w:hAnsi="Cambria" w:cs="Times New Roman"/>
          <w:sz w:val="24"/>
          <w:szCs w:val="24"/>
        </w:rPr>
        <w:t>Waly</w:t>
      </w:r>
      <w:proofErr w:type="spellEnd"/>
      <w:r w:rsidR="003B06F2" w:rsidRPr="00AB7C17">
        <w:rPr>
          <w:rFonts w:ascii="Cambria" w:hAnsi="Cambria" w:cs="Times New Roman"/>
          <w:sz w:val="24"/>
          <w:szCs w:val="24"/>
        </w:rPr>
        <w:t>;</w:t>
      </w:r>
    </w:p>
    <w:p w14:paraId="4BA5814E" w14:textId="275E5FD5" w:rsidR="006050B4" w:rsidRPr="006050B4" w:rsidRDefault="006050B4" w:rsidP="00D51734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050B4">
        <w:rPr>
          <w:rFonts w:ascii="Cambria" w:hAnsi="Cambria" w:cs="Times New Roman"/>
          <w:b/>
          <w:bCs/>
          <w:sz w:val="24"/>
          <w:szCs w:val="24"/>
        </w:rPr>
        <w:t>E</w:t>
      </w:r>
    </w:p>
    <w:p w14:paraId="3E2DCA3A" w14:textId="34E3F381" w:rsidR="00FE2F2D" w:rsidRPr="00AB7C17" w:rsidRDefault="00FE2F2D" w:rsidP="00D51734">
      <w:pPr>
        <w:rPr>
          <w:rFonts w:ascii="Cambria" w:hAnsi="Cambria" w:cs="Times New Roman"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>CEFMECTP</w:t>
      </w:r>
      <w:r w:rsidR="00C74C48" w:rsidRPr="00AB7C17">
        <w:rPr>
          <w:rFonts w:ascii="Cambria" w:hAnsi="Cambria" w:cs="Times New Roman"/>
          <w:b/>
          <w:sz w:val="24"/>
          <w:szCs w:val="24"/>
        </w:rPr>
        <w:t xml:space="preserve"> - </w:t>
      </w:r>
      <w:r w:rsidRPr="00AB7C17">
        <w:rPr>
          <w:rFonts w:ascii="Cambria" w:hAnsi="Cambria" w:cs="Times New Roman"/>
          <w:b/>
          <w:sz w:val="24"/>
          <w:szCs w:val="24"/>
        </w:rPr>
        <w:t>Organismo Paritetico per la formazione e la sicurezza in edilizia</w:t>
      </w:r>
      <w:r w:rsidR="00C74C48" w:rsidRPr="00AB7C17">
        <w:rPr>
          <w:rFonts w:ascii="Cambria" w:hAnsi="Cambria" w:cs="Times New Roman"/>
          <w:b/>
          <w:sz w:val="24"/>
          <w:szCs w:val="24"/>
        </w:rPr>
        <w:t xml:space="preserve"> -</w:t>
      </w:r>
      <w:r w:rsidR="00CF53D1" w:rsidRPr="00AB7C17">
        <w:rPr>
          <w:rFonts w:ascii="Cambria" w:hAnsi="Cambria" w:cs="Times New Roman"/>
          <w:b/>
          <w:sz w:val="24"/>
          <w:szCs w:val="24"/>
        </w:rPr>
        <w:t xml:space="preserve"> </w:t>
      </w:r>
      <w:r w:rsidRPr="00AB7C17">
        <w:rPr>
          <w:rFonts w:ascii="Cambria" w:hAnsi="Cambria" w:cs="Times New Roman"/>
          <w:b/>
          <w:sz w:val="24"/>
          <w:szCs w:val="24"/>
        </w:rPr>
        <w:t xml:space="preserve">di Roma e </w:t>
      </w:r>
      <w:r w:rsidR="00653EE6" w:rsidRPr="00AB7C17">
        <w:rPr>
          <w:rFonts w:ascii="Cambria" w:hAnsi="Cambria" w:cs="Times New Roman"/>
          <w:b/>
          <w:sz w:val="24"/>
          <w:szCs w:val="24"/>
        </w:rPr>
        <w:t>Provincia</w:t>
      </w:r>
      <w:r w:rsidRPr="00AB7C17">
        <w:rPr>
          <w:rFonts w:ascii="Cambria" w:hAnsi="Cambria" w:cs="Times New Roman"/>
          <w:sz w:val="24"/>
          <w:szCs w:val="24"/>
        </w:rPr>
        <w:t xml:space="preserve"> (di seguito </w:t>
      </w:r>
      <w:r w:rsidR="007D6813" w:rsidRPr="00AB7C17">
        <w:rPr>
          <w:rFonts w:ascii="Cambria" w:hAnsi="Cambria" w:cs="Times New Roman"/>
          <w:sz w:val="24"/>
          <w:szCs w:val="24"/>
        </w:rPr>
        <w:t xml:space="preserve">CEFMECTP di Roma e </w:t>
      </w:r>
      <w:r w:rsidR="00653EE6" w:rsidRPr="00AB7C17">
        <w:rPr>
          <w:rFonts w:ascii="Cambria" w:hAnsi="Cambria" w:cs="Times New Roman"/>
          <w:sz w:val="24"/>
          <w:szCs w:val="24"/>
        </w:rPr>
        <w:t>Provincia</w:t>
      </w:r>
      <w:r w:rsidR="007D6813" w:rsidRPr="00AB7C17">
        <w:rPr>
          <w:rFonts w:ascii="Cambria" w:hAnsi="Cambria" w:cs="Times New Roman"/>
          <w:sz w:val="24"/>
          <w:szCs w:val="24"/>
        </w:rPr>
        <w:t xml:space="preserve"> o </w:t>
      </w:r>
      <w:r w:rsidRPr="00AB7C17">
        <w:rPr>
          <w:rFonts w:ascii="Cambria" w:hAnsi="Cambria" w:cs="Times New Roman"/>
          <w:sz w:val="24"/>
          <w:szCs w:val="24"/>
        </w:rPr>
        <w:t xml:space="preserve">CEFMECTP), rappresentato dal Presidente </w:t>
      </w:r>
      <w:r w:rsidR="003B06F2" w:rsidRPr="00AB7C17">
        <w:rPr>
          <w:rFonts w:ascii="Cambria" w:hAnsi="Cambria" w:cs="Times New Roman"/>
          <w:sz w:val="24"/>
          <w:szCs w:val="24"/>
        </w:rPr>
        <w:t>Tullio Manetta</w:t>
      </w:r>
      <w:r w:rsidR="00D51734">
        <w:rPr>
          <w:rFonts w:ascii="Cambria" w:hAnsi="Cambria" w:cs="Times New Roman"/>
          <w:sz w:val="24"/>
          <w:szCs w:val="24"/>
        </w:rPr>
        <w:t>.</w:t>
      </w:r>
    </w:p>
    <w:p w14:paraId="7DB3DFA5" w14:textId="77777777" w:rsidR="003A1C6E" w:rsidRPr="00AB7C17" w:rsidRDefault="003A1C6E" w:rsidP="003C5607">
      <w:pPr>
        <w:rPr>
          <w:rFonts w:ascii="Cambria" w:hAnsi="Cambria" w:cs="Times New Roman"/>
          <w:sz w:val="24"/>
          <w:szCs w:val="24"/>
        </w:rPr>
      </w:pPr>
    </w:p>
    <w:p w14:paraId="7897AF34" w14:textId="77777777" w:rsidR="00B4616B" w:rsidRPr="00AB7C17" w:rsidRDefault="00836468" w:rsidP="00B4616B">
      <w:pPr>
        <w:jc w:val="center"/>
        <w:rPr>
          <w:rFonts w:ascii="Cambria" w:hAnsi="Cambria" w:cs="Times New Roman"/>
          <w:sz w:val="24"/>
          <w:szCs w:val="24"/>
        </w:rPr>
      </w:pPr>
      <w:r w:rsidRPr="006050B4">
        <w:rPr>
          <w:rFonts w:ascii="Cambria" w:hAnsi="Cambria" w:cs="Times New Roman"/>
          <w:b/>
          <w:bCs/>
          <w:sz w:val="24"/>
          <w:szCs w:val="24"/>
        </w:rPr>
        <w:t>P</w:t>
      </w:r>
      <w:r w:rsidR="00FE2F2D" w:rsidRPr="006050B4">
        <w:rPr>
          <w:rFonts w:ascii="Cambria" w:hAnsi="Cambria" w:cs="Times New Roman"/>
          <w:b/>
          <w:bCs/>
          <w:sz w:val="24"/>
          <w:szCs w:val="24"/>
        </w:rPr>
        <w:t>remesso</w:t>
      </w:r>
      <w:r w:rsidRPr="006050B4">
        <w:rPr>
          <w:rFonts w:ascii="Cambria" w:hAnsi="Cambria" w:cs="Times New Roman"/>
          <w:b/>
          <w:bCs/>
          <w:sz w:val="24"/>
          <w:szCs w:val="24"/>
        </w:rPr>
        <w:t xml:space="preserve"> che</w:t>
      </w:r>
      <w:r w:rsidR="00FE2F2D" w:rsidRPr="00AB7C17">
        <w:rPr>
          <w:rFonts w:ascii="Cambria" w:hAnsi="Cambria" w:cs="Times New Roman"/>
          <w:sz w:val="24"/>
          <w:szCs w:val="24"/>
        </w:rPr>
        <w:t>:</w:t>
      </w:r>
    </w:p>
    <w:p w14:paraId="6E295E3E" w14:textId="77777777" w:rsidR="00B4616B" w:rsidRPr="00AB7C17" w:rsidRDefault="00B4616B" w:rsidP="00B4616B">
      <w:pPr>
        <w:jc w:val="center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44115035" w14:textId="5B553737" w:rsidR="0071342A" w:rsidRPr="00AB7C17" w:rsidRDefault="00D51734" w:rsidP="009237CE">
      <w:pPr>
        <w:pStyle w:val="Paragrafoelenco"/>
        <w:numPr>
          <w:ilvl w:val="0"/>
          <w:numId w:val="2"/>
        </w:numPr>
        <w:tabs>
          <w:tab w:val="left" w:pos="7740"/>
        </w:tabs>
        <w:spacing w:after="240" w:line="276" w:lineRule="auto"/>
        <w:ind w:right="121"/>
        <w:rPr>
          <w:rFonts w:ascii="Cambria" w:eastAsia="Arial" w:hAnsi="Cambria" w:cs="Times New Roman"/>
          <w:i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t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ra </w:t>
      </w:r>
      <w:r w:rsidR="00CE325D" w:rsidRPr="00AB7C17">
        <w:rPr>
          <w:rFonts w:ascii="Cambria" w:eastAsia="Arial" w:hAnsi="Cambria" w:cs="Times New Roman"/>
          <w:color w:val="151513"/>
          <w:sz w:val="24"/>
          <w:szCs w:val="24"/>
        </w:rPr>
        <w:t>l’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Ispettorato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Territoriale del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Lavoro di Roma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la Cassa Edile di Roma e Provincia e il CEFMECTP </w:t>
      </w:r>
      <w:r w:rsidR="006050B4">
        <w:rPr>
          <w:rFonts w:ascii="Cambria" w:eastAsia="Arial" w:hAnsi="Cambria" w:cs="Times New Roman"/>
          <w:color w:val="151513"/>
          <w:sz w:val="24"/>
          <w:szCs w:val="24"/>
        </w:rPr>
        <w:t xml:space="preserve">di Roma e provincia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è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stato sottoscritto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il 6 settembre 2017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un Protocollo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d’I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ntesa finalizzato a realizzare il “</w:t>
      </w:r>
      <w:r w:rsidR="00FD5258" w:rsidRPr="00AB7C17">
        <w:rPr>
          <w:rFonts w:ascii="Cambria" w:eastAsia="Arial" w:hAnsi="Cambria" w:cs="Times New Roman"/>
          <w:i/>
          <w:color w:val="151513"/>
          <w:sz w:val="24"/>
          <w:szCs w:val="24"/>
        </w:rPr>
        <w:t>Progetto di informatizzazione delle notifiche preliminari”</w:t>
      </w:r>
      <w:r w:rsidR="00836468" w:rsidRPr="00AB7C17">
        <w:rPr>
          <w:rFonts w:ascii="Cambria" w:eastAsia="Arial" w:hAnsi="Cambria" w:cs="Times New Roman"/>
          <w:color w:val="151513"/>
          <w:w w:val="109"/>
          <w:sz w:val="24"/>
          <w:szCs w:val="24"/>
        </w:rPr>
        <w:t>;</w:t>
      </w:r>
    </w:p>
    <w:p w14:paraId="673ED971" w14:textId="77777777" w:rsidR="0071342A" w:rsidRPr="00AB7C17" w:rsidRDefault="0071342A" w:rsidP="009237CE">
      <w:pPr>
        <w:pStyle w:val="Paragrafoelenco"/>
        <w:tabs>
          <w:tab w:val="left" w:pos="7740"/>
        </w:tabs>
        <w:spacing w:after="240" w:line="276" w:lineRule="auto"/>
        <w:ind w:left="420" w:right="121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7128BC3C" w14:textId="5BF82AD3" w:rsidR="00FD5258" w:rsidRPr="00AB7C17" w:rsidRDefault="006050B4" w:rsidP="009237CE">
      <w:pPr>
        <w:pStyle w:val="Paragrafoelenco"/>
        <w:numPr>
          <w:ilvl w:val="0"/>
          <w:numId w:val="2"/>
        </w:numPr>
        <w:spacing w:before="240"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n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ei 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mesi scorsi </w:t>
      </w:r>
      <w:r w:rsidR="006D65C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si è </w:t>
      </w:r>
      <w:r w:rsidR="00782A49" w:rsidRPr="00AB7C17">
        <w:rPr>
          <w:rFonts w:ascii="Cambria" w:eastAsia="Arial" w:hAnsi="Cambria" w:cs="Times New Roman"/>
          <w:color w:val="151513"/>
          <w:sz w:val="24"/>
          <w:szCs w:val="24"/>
        </w:rPr>
        <w:t>avviato un</w:t>
      </w:r>
      <w:r w:rsidR="00653EE6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importante confronto tra l’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Ispettorato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N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azionale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del Lavoro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 la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Commissione Nazionale Paritetica delle Casse Edili (CNCE),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per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far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ripartire fattivamente, anche a fronte della grave crisi epidemiologica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in atto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una collaborazione 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volta a determinare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un </w:t>
      </w:r>
      <w:r w:rsidR="00B86289" w:rsidRPr="00AB7C17">
        <w:rPr>
          <w:rFonts w:ascii="Cambria" w:eastAsia="Arial" w:hAnsi="Cambria" w:cs="Times New Roman"/>
          <w:color w:val="151513"/>
          <w:sz w:val="24"/>
          <w:szCs w:val="24"/>
        </w:rPr>
        <w:t>interscambio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 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informazioni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e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B86289" w:rsidRPr="00AB7C17">
        <w:rPr>
          <w:rFonts w:ascii="Cambria" w:eastAsia="Arial" w:hAnsi="Cambria" w:cs="Times New Roman"/>
          <w:color w:val="151513"/>
          <w:sz w:val="24"/>
          <w:szCs w:val="24"/>
        </w:rPr>
        <w:t>di conoscenze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tra gli Ispettorati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T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erritoriali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del Lavoro (ITL)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B86289" w:rsidRPr="00AB7C17">
        <w:rPr>
          <w:rFonts w:ascii="Cambria" w:eastAsia="Arial" w:hAnsi="Cambria" w:cs="Times New Roman"/>
          <w:color w:val="151513"/>
          <w:sz w:val="24"/>
          <w:szCs w:val="24"/>
        </w:rPr>
        <w:t>e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le Casse Edili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42CA3120" w14:textId="77777777" w:rsidR="00FD5258" w:rsidRPr="00AB7C17" w:rsidRDefault="00FD5258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61CB5EAE" w14:textId="58B2B145" w:rsidR="00B4616B" w:rsidRPr="00AB7C17" w:rsidRDefault="006050B4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n 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tale ottica, </w:t>
      </w:r>
      <w:r w:rsidR="00B4616B" w:rsidRPr="00AB7C17">
        <w:rPr>
          <w:rFonts w:ascii="Cambria" w:eastAsia="Arial" w:hAnsi="Cambria" w:cs="Times New Roman"/>
          <w:color w:val="151513"/>
          <w:sz w:val="24"/>
          <w:szCs w:val="24"/>
        </w:rPr>
        <w:t>è stato sottoscritto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, l</w:t>
      </w:r>
      <w:r w:rsidR="00C74C48" w:rsidRPr="00AB7C17">
        <w:rPr>
          <w:rFonts w:ascii="Cambria" w:eastAsia="Arial" w:hAnsi="Cambria" w:cs="Times New Roman"/>
          <w:color w:val="151513"/>
          <w:sz w:val="24"/>
          <w:szCs w:val="24"/>
        </w:rPr>
        <w:t>’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11 marzo</w:t>
      </w:r>
      <w:r w:rsidR="00AF20EE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2021</w:t>
      </w:r>
      <w:r w:rsidR="009C09E5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B4616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un Protocollo </w:t>
      </w:r>
      <w:r w:rsidR="009C09E5" w:rsidRPr="00AB7C17">
        <w:rPr>
          <w:rFonts w:ascii="Cambria" w:eastAsia="Arial" w:hAnsi="Cambria" w:cs="Times New Roman"/>
          <w:color w:val="151513"/>
          <w:sz w:val="24"/>
          <w:szCs w:val="24"/>
        </w:rPr>
        <w:t>d’I</w:t>
      </w:r>
      <w:r w:rsidR="003B06F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ntesa </w:t>
      </w:r>
      <w:r w:rsidR="00B4616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tra l’Ispettorato Nazionale del Lavoro (INL) e la 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>CNCE,</w:t>
      </w:r>
      <w:r w:rsidR="00B4616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finalizzato a consentire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le richiamate</w:t>
      </w:r>
      <w:r w:rsidR="00B4616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forme di scambio di informazioni e</w:t>
      </w:r>
      <w:r w:rsidR="00FD52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1F87" w:rsidRPr="00AB7C17">
        <w:rPr>
          <w:rFonts w:ascii="Cambria" w:eastAsia="Arial" w:hAnsi="Cambria" w:cs="Times New Roman"/>
          <w:color w:val="151513"/>
          <w:sz w:val="24"/>
          <w:szCs w:val="24"/>
        </w:rPr>
        <w:t>dati tra gli Ispettorati T</w:t>
      </w:r>
      <w:r w:rsidR="00B4616B" w:rsidRPr="00AB7C17">
        <w:rPr>
          <w:rFonts w:ascii="Cambria" w:eastAsia="Arial" w:hAnsi="Cambria" w:cs="Times New Roman"/>
          <w:color w:val="151513"/>
          <w:sz w:val="24"/>
          <w:szCs w:val="24"/>
        </w:rPr>
        <w:t>erritoriali del Lavoro e le Casse Edili aderenti alla rete CNCE, nel rispetto del Regolamento generale sulla protezione dei dati (Regolamento UE n. 679/2016) e della normativa vigente in materia di Privacy;</w:t>
      </w:r>
    </w:p>
    <w:p w14:paraId="51FC330B" w14:textId="77777777" w:rsidR="00C545B0" w:rsidRPr="00AB7C17" w:rsidRDefault="00C545B0" w:rsidP="009237CE">
      <w:pPr>
        <w:pStyle w:val="Paragrafoelenco"/>
        <w:spacing w:line="276" w:lineRule="auto"/>
        <w:ind w:left="420"/>
        <w:contextualSpacing w:val="0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245ED6B8" w14:textId="77777777" w:rsidR="00365772" w:rsidRDefault="006050B4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il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suddetto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Protocollo d’Intesa 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si pone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>nella lunga stori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>a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 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rapporti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>tra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le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>stituzioni preposte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all’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attività ispettiva 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>sui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luoghi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lavoro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le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>P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arti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EE1CBA" w:rsidRPr="00AB7C17">
        <w:rPr>
          <w:rFonts w:ascii="Cambria" w:eastAsia="Arial" w:hAnsi="Cambria" w:cs="Times New Roman"/>
          <w:color w:val="151513"/>
          <w:sz w:val="24"/>
          <w:szCs w:val="24"/>
        </w:rPr>
        <w:t>S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ociali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del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settore 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>edile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>anche per il tramite de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gli </w:t>
      </w:r>
      <w:r w:rsidR="00C74C48" w:rsidRPr="00AB7C17">
        <w:rPr>
          <w:rFonts w:ascii="Cambria" w:eastAsia="Arial" w:hAnsi="Cambria" w:cs="Times New Roman"/>
          <w:color w:val="151513"/>
          <w:sz w:val="24"/>
          <w:szCs w:val="24"/>
        </w:rPr>
        <w:t>Organismi P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aritetici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di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settore.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>Con riferimento a questi ultimi, si precisa che la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CNCE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costituisce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955E9B" w:rsidRPr="00AB7C17">
        <w:rPr>
          <w:rFonts w:ascii="Cambria" w:eastAsia="Arial" w:hAnsi="Cambria" w:cs="Times New Roman"/>
          <w:color w:val="151513"/>
          <w:sz w:val="24"/>
          <w:szCs w:val="24"/>
        </w:rPr>
        <w:t>l’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Ente di 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indirizzo, di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>controllo e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coordinamento delle Casse Edili 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004"/>
        <w:gridCol w:w="2948"/>
      </w:tblGrid>
      <w:tr w:rsidR="008E19EE" w14:paraId="386811E8" w14:textId="77777777" w:rsidTr="008E19EE">
        <w:tc>
          <w:tcPr>
            <w:tcW w:w="3209" w:type="dxa"/>
            <w:vAlign w:val="center"/>
          </w:tcPr>
          <w:p w14:paraId="0B013C5A" w14:textId="20C3B53D" w:rsidR="008E19EE" w:rsidRDefault="008E19EE" w:rsidP="008E19EE">
            <w:pPr>
              <w:pStyle w:val="Paragrafoelenco"/>
              <w:ind w:left="0"/>
              <w:jc w:val="lef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bookmarkStart w:id="0" w:name="_Hlk71291461"/>
            <w:r>
              <w:rPr>
                <w:rFonts w:ascii="Cambria" w:eastAsia="Arial" w:hAnsi="Cambria" w:cs="Times New Roman"/>
                <w:noProof/>
                <w:color w:val="151513"/>
                <w:sz w:val="24"/>
                <w:szCs w:val="24"/>
              </w:rPr>
              <w:lastRenderedPageBreak/>
              <w:drawing>
                <wp:inline distT="0" distB="0" distL="0" distR="0" wp14:anchorId="0F0CA1C8" wp14:editId="72A7271B">
                  <wp:extent cx="944880" cy="655320"/>
                  <wp:effectExtent l="0" t="0" r="762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4974F919" w14:textId="14864D4C" w:rsidR="008E19EE" w:rsidRDefault="008E19EE" w:rsidP="008E19EE">
            <w:pPr>
              <w:pStyle w:val="Paragrafoelenco"/>
              <w:ind w:left="0"/>
              <w:jc w:val="center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5C32BF">
              <w:rPr>
                <w:noProof/>
              </w:rPr>
              <w:drawing>
                <wp:inline distT="0" distB="0" distL="0" distR="0" wp14:anchorId="7F5017B9" wp14:editId="3EAB2079">
                  <wp:extent cx="1097280" cy="731520"/>
                  <wp:effectExtent l="0" t="0" r="762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27851AF6" w14:textId="73C998DC" w:rsidR="008E19EE" w:rsidRDefault="008E19EE" w:rsidP="008E19EE">
            <w:pPr>
              <w:pStyle w:val="Paragrafoelenco"/>
              <w:ind w:left="0"/>
              <w:jc w:val="righ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5C32BF">
              <w:rPr>
                <w:noProof/>
              </w:rPr>
              <w:drawing>
                <wp:inline distT="0" distB="0" distL="0" distR="0" wp14:anchorId="17FA1740" wp14:editId="705AB84E">
                  <wp:extent cx="883920" cy="434340"/>
                  <wp:effectExtent l="0" t="0" r="0" b="381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54" cy="44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3522C28" w14:textId="77777777" w:rsidR="00365772" w:rsidRPr="00365772" w:rsidRDefault="00365772" w:rsidP="00365772">
      <w:pPr>
        <w:spacing w:line="276" w:lineRule="auto"/>
        <w:ind w:left="60"/>
        <w:jc w:val="center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33F142C" w14:textId="21B35631" w:rsidR="00C545B0" w:rsidRPr="00365772" w:rsidRDefault="00C545B0" w:rsidP="00365772">
      <w:pPr>
        <w:spacing w:line="276" w:lineRule="auto"/>
        <w:ind w:left="60"/>
        <w:rPr>
          <w:rFonts w:ascii="Cambria" w:eastAsia="Arial" w:hAnsi="Cambria" w:cs="Times New Roman"/>
          <w:color w:val="151513"/>
          <w:sz w:val="24"/>
          <w:szCs w:val="24"/>
        </w:rPr>
      </w:pPr>
      <w:r w:rsidRPr="00365772">
        <w:rPr>
          <w:rFonts w:ascii="Cambria" w:eastAsia="Arial" w:hAnsi="Cambria" w:cs="Times New Roman"/>
          <w:color w:val="151513"/>
          <w:sz w:val="24"/>
          <w:szCs w:val="24"/>
        </w:rPr>
        <w:t>dislocate sul territorio</w:t>
      </w:r>
      <w:r w:rsidR="007A2022" w:rsidRPr="00365772">
        <w:rPr>
          <w:rFonts w:ascii="Cambria" w:eastAsia="Arial" w:hAnsi="Cambria" w:cs="Times New Roman"/>
          <w:color w:val="151513"/>
          <w:sz w:val="24"/>
          <w:szCs w:val="24"/>
        </w:rPr>
        <w:t xml:space="preserve">, </w:t>
      </w:r>
      <w:r w:rsidRPr="00365772">
        <w:rPr>
          <w:rFonts w:ascii="Cambria" w:eastAsia="Arial" w:hAnsi="Cambria" w:cs="Times New Roman"/>
          <w:color w:val="151513"/>
          <w:sz w:val="24"/>
          <w:szCs w:val="24"/>
        </w:rPr>
        <w:t xml:space="preserve">preposte, unitamente a </w:t>
      </w:r>
      <w:r w:rsidR="00834E1A" w:rsidRPr="00365772">
        <w:rPr>
          <w:rFonts w:ascii="Cambria" w:eastAsia="Arial" w:hAnsi="Cambria" w:cs="Times New Roman"/>
          <w:color w:val="151513"/>
          <w:sz w:val="24"/>
          <w:szCs w:val="24"/>
        </w:rPr>
        <w:t>INPS</w:t>
      </w:r>
      <w:r w:rsidRPr="00365772">
        <w:rPr>
          <w:rFonts w:ascii="Cambria" w:eastAsia="Arial" w:hAnsi="Cambria" w:cs="Times New Roman"/>
          <w:color w:val="151513"/>
          <w:sz w:val="24"/>
          <w:szCs w:val="24"/>
        </w:rPr>
        <w:t xml:space="preserve"> e </w:t>
      </w:r>
      <w:r w:rsidR="00834E1A" w:rsidRPr="00365772">
        <w:rPr>
          <w:rFonts w:ascii="Cambria" w:eastAsia="Arial" w:hAnsi="Cambria" w:cs="Times New Roman"/>
          <w:color w:val="151513"/>
          <w:sz w:val="24"/>
          <w:szCs w:val="24"/>
        </w:rPr>
        <w:t>INAIL</w:t>
      </w:r>
      <w:r w:rsidRPr="00365772">
        <w:rPr>
          <w:rFonts w:ascii="Cambria" w:eastAsia="Arial" w:hAnsi="Cambria" w:cs="Times New Roman"/>
          <w:color w:val="151513"/>
          <w:sz w:val="24"/>
          <w:szCs w:val="24"/>
        </w:rPr>
        <w:t xml:space="preserve">, al rilascio del </w:t>
      </w:r>
      <w:r w:rsidR="0043242C" w:rsidRPr="00365772">
        <w:rPr>
          <w:rFonts w:ascii="Cambria" w:eastAsia="Arial" w:hAnsi="Cambria" w:cs="Times New Roman"/>
          <w:color w:val="151513"/>
          <w:sz w:val="24"/>
          <w:szCs w:val="24"/>
        </w:rPr>
        <w:t>Durc</w:t>
      </w:r>
      <w:r w:rsidRPr="00365772">
        <w:rPr>
          <w:rFonts w:ascii="Cambria" w:eastAsia="Arial" w:hAnsi="Cambria" w:cs="Times New Roman"/>
          <w:color w:val="151513"/>
          <w:sz w:val="24"/>
          <w:szCs w:val="24"/>
        </w:rPr>
        <w:t xml:space="preserve"> in base alla legislazione vigente;</w:t>
      </w:r>
    </w:p>
    <w:p w14:paraId="35F5BA65" w14:textId="77777777" w:rsidR="00082D88" w:rsidRPr="00AB7C17" w:rsidRDefault="00082D88" w:rsidP="009237CE">
      <w:p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2EFC8970" w14:textId="30C6D099" w:rsidR="00834E1A" w:rsidRPr="00AB7C17" w:rsidRDefault="006050B4" w:rsidP="009237CE">
      <w:pPr>
        <w:pStyle w:val="Paragrafoelenco"/>
        <w:numPr>
          <w:ilvl w:val="0"/>
          <w:numId w:val="2"/>
        </w:num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 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finalità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del Protocollo è quella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 attivare tutte le sinergie opportune tra le parti 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in causa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per 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garantire 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>la regolarità, la legalità e la leale concorrenza sul mercato degli attori operanti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nel settore edile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293151E0" w14:textId="77777777" w:rsidR="00834E1A" w:rsidRPr="00AB7C17" w:rsidRDefault="00834E1A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641EBD17" w14:textId="146A1307" w:rsidR="00FB5058" w:rsidRPr="00D12C8C" w:rsidRDefault="006050B4" w:rsidP="009237CE">
      <w:pPr>
        <w:pStyle w:val="Paragrafoelenco"/>
        <w:numPr>
          <w:ilvl w:val="0"/>
          <w:numId w:val="2"/>
        </w:num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  <w:r w:rsidRPr="00D12C8C"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43242C" w:rsidRPr="00D12C8C">
        <w:rPr>
          <w:rFonts w:ascii="Cambria" w:eastAsia="Arial" w:hAnsi="Cambria" w:cs="Times New Roman"/>
          <w:color w:val="151513"/>
          <w:sz w:val="24"/>
          <w:szCs w:val="24"/>
        </w:rPr>
        <w:t>’</w:t>
      </w:r>
      <w:r w:rsidR="00C545B0" w:rsidRPr="00D12C8C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834E1A" w:rsidRPr="00D12C8C">
        <w:rPr>
          <w:rFonts w:ascii="Cambria" w:eastAsia="Arial" w:hAnsi="Cambria" w:cs="Times New Roman"/>
          <w:color w:val="151513"/>
          <w:sz w:val="24"/>
          <w:szCs w:val="24"/>
        </w:rPr>
        <w:t>TL di Roma</w:t>
      </w:r>
      <w:r w:rsidR="00082D88" w:rsidRPr="00D12C8C">
        <w:rPr>
          <w:rFonts w:ascii="Cambria" w:eastAsia="Arial" w:hAnsi="Cambria" w:cs="Times New Roman"/>
          <w:color w:val="151513"/>
          <w:sz w:val="24"/>
          <w:szCs w:val="24"/>
        </w:rPr>
        <w:t xml:space="preserve">, </w:t>
      </w:r>
      <w:r w:rsidR="008C38BC" w:rsidRPr="00D12C8C">
        <w:rPr>
          <w:rFonts w:ascii="Cambria" w:eastAsia="Arial" w:hAnsi="Cambria" w:cs="Times New Roman"/>
          <w:color w:val="151513"/>
          <w:sz w:val="24"/>
          <w:szCs w:val="24"/>
        </w:rPr>
        <w:t>istituzionalmente e per il proprio ambito di competenza territoriale</w:t>
      </w:r>
      <w:r w:rsidR="00082D88" w:rsidRPr="00D12C8C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834E1A" w:rsidRPr="00D12C8C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C545B0" w:rsidRPr="00D12C8C">
        <w:rPr>
          <w:rFonts w:ascii="Cambria" w:eastAsia="Arial" w:hAnsi="Cambria" w:cs="Times New Roman"/>
          <w:color w:val="151513"/>
          <w:sz w:val="24"/>
          <w:szCs w:val="24"/>
        </w:rPr>
        <w:t>assume</w:t>
      </w:r>
      <w:r w:rsidR="00C545B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 coordina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ai sensi </w:t>
      </w:r>
      <w:r w:rsidR="0043242C" w:rsidRPr="00AB7C17">
        <w:rPr>
          <w:rFonts w:ascii="Cambria" w:eastAsia="Arial" w:hAnsi="Cambria" w:cs="Times New Roman"/>
          <w:color w:val="151513"/>
          <w:sz w:val="24"/>
          <w:szCs w:val="24"/>
        </w:rPr>
        <w:t>dell’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>art</w:t>
      </w:r>
      <w:r>
        <w:rPr>
          <w:rFonts w:ascii="Cambria" w:eastAsia="Arial" w:hAnsi="Cambria" w:cs="Times New Roman"/>
          <w:color w:val="151513"/>
          <w:sz w:val="24"/>
          <w:szCs w:val="24"/>
        </w:rPr>
        <w:t>icolo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7A2022" w:rsidRPr="00AB7C17">
        <w:rPr>
          <w:rFonts w:ascii="Cambria" w:eastAsia="Arial" w:hAnsi="Cambria" w:cs="Times New Roman"/>
          <w:color w:val="151513"/>
          <w:sz w:val="24"/>
          <w:szCs w:val="24"/>
        </w:rPr>
        <w:t>1</w:t>
      </w:r>
      <w:r w:rsidR="000646D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del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proofErr w:type="spellStart"/>
      <w:r w:rsidR="0043242C" w:rsidRPr="00AB7C17">
        <w:rPr>
          <w:rFonts w:ascii="Cambria" w:eastAsia="Arial" w:hAnsi="Cambria" w:cs="Times New Roman"/>
          <w:color w:val="151513"/>
          <w:sz w:val="24"/>
          <w:szCs w:val="24"/>
        </w:rPr>
        <w:t>D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>.</w:t>
      </w: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>gs.</w:t>
      </w:r>
      <w:proofErr w:type="spellEnd"/>
      <w:r w:rsidR="00834E1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124/2004</w:t>
      </w:r>
      <w:r w:rsidR="00E505F1" w:rsidRPr="00D12C8C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C545B0" w:rsidRPr="00D12C8C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953932" w:rsidRPr="00D12C8C">
        <w:rPr>
          <w:rFonts w:ascii="Cambria" w:eastAsia="Arial" w:hAnsi="Cambria" w:cs="Times New Roman"/>
          <w:color w:val="151513"/>
          <w:sz w:val="24"/>
          <w:szCs w:val="24"/>
        </w:rPr>
        <w:t>la vigilanza in materia di rapporti di lavoro e dei livelli essenziali delle prestazioni concernenti i diritti civili e sociali che devono essere garantiti su tutto il territorio nazionale, con particolare riferimento allo svolgimento delle attività di vigilanza mirate alla prevenzione e alla promozione dell'osservanza delle norme di legislazione sociale e del lavoro, ivi compresa l'applicazione dei contratti collettivi di lavoro e della disciplina previdenziale</w:t>
      </w:r>
      <w:r w:rsidR="00EB49D5" w:rsidRPr="00D12C8C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0A48F679" w14:textId="77777777" w:rsidR="00EB49D5" w:rsidRPr="00AB7C17" w:rsidRDefault="00EB49D5" w:rsidP="009237CE">
      <w:p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2C242EA4" w14:textId="77F4E0B0" w:rsidR="00FB5058" w:rsidRPr="00AB7C17" w:rsidRDefault="006050B4" w:rsidP="009237CE">
      <w:pPr>
        <w:pStyle w:val="Paragrafoelenco"/>
        <w:numPr>
          <w:ilvl w:val="0"/>
          <w:numId w:val="2"/>
        </w:num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3C7104" w:rsidRPr="00AB7C17">
        <w:rPr>
          <w:rFonts w:ascii="Cambria" w:eastAsia="Arial" w:hAnsi="Cambria" w:cs="Times New Roman"/>
          <w:color w:val="151513"/>
          <w:sz w:val="24"/>
          <w:szCs w:val="24"/>
        </w:rPr>
        <w:t>’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ITL di Roma esercita </w:t>
      </w:r>
      <w:r w:rsidR="003C7104" w:rsidRPr="00AB7C17">
        <w:rPr>
          <w:rFonts w:ascii="Cambria" w:eastAsia="Arial" w:hAnsi="Cambria" w:cs="Times New Roman"/>
          <w:color w:val="151513"/>
          <w:sz w:val="24"/>
          <w:szCs w:val="24"/>
        </w:rPr>
        <w:t>l’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attività di vigilanza</w:t>
      </w:r>
      <w:r w:rsidR="003C7104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sull’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applicazione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della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legislazione in materia di salute e sicurezza nei luoghi di lavoro nel settore delle 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costruzioni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edili o di genio civile e 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nelle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altre attività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espressamente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indicate 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>nell’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art</w:t>
      </w:r>
      <w:r>
        <w:rPr>
          <w:rFonts w:ascii="Cambria" w:eastAsia="Arial" w:hAnsi="Cambria" w:cs="Times New Roman"/>
          <w:color w:val="151513"/>
          <w:sz w:val="24"/>
          <w:szCs w:val="24"/>
        </w:rPr>
        <w:t>icolo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13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comma 2 </w:t>
      </w:r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del </w:t>
      </w:r>
      <w:proofErr w:type="spellStart"/>
      <w:r w:rsidR="0071342A" w:rsidRPr="00AB7C17">
        <w:rPr>
          <w:rFonts w:ascii="Cambria" w:eastAsia="Arial" w:hAnsi="Cambria" w:cs="Times New Roman"/>
          <w:color w:val="151513"/>
          <w:sz w:val="24"/>
          <w:szCs w:val="24"/>
        </w:rPr>
        <w:t>D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.</w:t>
      </w: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gs.</w:t>
      </w:r>
      <w:proofErr w:type="spellEnd"/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81/2008, nel quadro del coordinamento territoriale con le Aziende Sanitarie Locali;</w:t>
      </w:r>
    </w:p>
    <w:p w14:paraId="031E0347" w14:textId="77777777" w:rsidR="001F1CC3" w:rsidRPr="00AB7C17" w:rsidRDefault="001F1CC3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4079E7CB" w14:textId="295B62F4" w:rsidR="00FB5058" w:rsidRPr="00AB7C17" w:rsidRDefault="006050B4" w:rsidP="009237CE">
      <w:pPr>
        <w:pStyle w:val="Paragrafoelenco"/>
        <w:numPr>
          <w:ilvl w:val="0"/>
          <w:numId w:val="2"/>
        </w:num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l </w:t>
      </w:r>
      <w:r w:rsidR="006F299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CCNL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edile, sottoscritto dall’ANCE e 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da </w:t>
      </w:r>
      <w:proofErr w:type="spellStart"/>
      <w:r w:rsidR="006F2997" w:rsidRPr="00AB7C17">
        <w:rPr>
          <w:rFonts w:ascii="Cambria" w:eastAsia="Arial" w:hAnsi="Cambria" w:cs="Times New Roman"/>
          <w:color w:val="151513"/>
          <w:sz w:val="24"/>
          <w:szCs w:val="24"/>
        </w:rPr>
        <w:t>Feneal</w:t>
      </w:r>
      <w:proofErr w:type="spellEnd"/>
      <w:r>
        <w:rPr>
          <w:rFonts w:ascii="Cambria" w:eastAsia="Arial" w:hAnsi="Cambria" w:cs="Times New Roman"/>
          <w:color w:val="151513"/>
          <w:sz w:val="24"/>
          <w:szCs w:val="24"/>
        </w:rPr>
        <w:t>-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Uil, </w:t>
      </w:r>
      <w:proofErr w:type="spellStart"/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Filca</w:t>
      </w:r>
      <w:proofErr w:type="spellEnd"/>
      <w:r>
        <w:rPr>
          <w:rFonts w:ascii="Cambria" w:eastAsia="Arial" w:hAnsi="Cambria" w:cs="Times New Roman"/>
          <w:color w:val="151513"/>
          <w:sz w:val="24"/>
          <w:szCs w:val="24"/>
        </w:rPr>
        <w:t>-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CISL, Fillea</w:t>
      </w:r>
      <w:r>
        <w:rPr>
          <w:rFonts w:ascii="Cambria" w:eastAsia="Arial" w:hAnsi="Cambria" w:cs="Times New Roman"/>
          <w:color w:val="151513"/>
          <w:sz w:val="24"/>
          <w:szCs w:val="24"/>
        </w:rPr>
        <w:t>-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CGIL, e </w:t>
      </w:r>
      <w:r w:rsidR="006F299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la relativa contrattazione integrativa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p</w:t>
      </w:r>
      <w:r w:rsidR="00653EE6" w:rsidRPr="00AB7C17">
        <w:rPr>
          <w:rFonts w:ascii="Cambria" w:eastAsia="Arial" w:hAnsi="Cambria" w:cs="Times New Roman"/>
          <w:color w:val="151513"/>
          <w:sz w:val="24"/>
          <w:szCs w:val="24"/>
        </w:rPr>
        <w:t>rovincia</w:t>
      </w:r>
      <w:r w:rsidR="006F2997" w:rsidRPr="00AB7C17">
        <w:rPr>
          <w:rFonts w:ascii="Cambria" w:eastAsia="Arial" w:hAnsi="Cambria" w:cs="Times New Roman"/>
          <w:color w:val="151513"/>
          <w:sz w:val="24"/>
          <w:szCs w:val="24"/>
        </w:rPr>
        <w:t>le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6F299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tengono conto, da un punto di vista sia retributivo che normativo, delle peculiarità delle lavorazioni edili;</w:t>
      </w:r>
    </w:p>
    <w:p w14:paraId="1FBE34B5" w14:textId="77777777" w:rsidR="00FB5058" w:rsidRPr="00AB7C17" w:rsidRDefault="00FB5058" w:rsidP="009237CE">
      <w:pPr>
        <w:pStyle w:val="Paragrafoelenco"/>
        <w:spacing w:line="276" w:lineRule="auto"/>
        <w:ind w:left="420" w:right="71"/>
        <w:contextualSpacing w:val="0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EF8D50D" w14:textId="5BB2C4DA" w:rsidR="00836468" w:rsidRPr="00AB7C17" w:rsidRDefault="006050B4" w:rsidP="009237CE">
      <w:pPr>
        <w:pStyle w:val="Paragrafoelenco"/>
        <w:numPr>
          <w:ilvl w:val="0"/>
          <w:numId w:val="2"/>
        </w:num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 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bilateralità di derivazione della menzionata contrattazione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>(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per il territorio di Roma e </w:t>
      </w:r>
      <w:r w:rsidR="00653EE6" w:rsidRPr="00AB7C17">
        <w:rPr>
          <w:rFonts w:ascii="Cambria" w:eastAsia="Arial" w:hAnsi="Cambria" w:cs="Times New Roman"/>
          <w:color w:val="151513"/>
          <w:sz w:val="24"/>
          <w:szCs w:val="24"/>
        </w:rPr>
        <w:t>Provincia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>: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Cassa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Edile</w:t>
      </w:r>
      <w:r w:rsidR="009B15A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CEFMECTP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>)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BB2DD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colloca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al centro della </w:t>
      </w:r>
      <w:r w:rsidR="008C38BC" w:rsidRPr="00AB7C17">
        <w:rPr>
          <w:rFonts w:ascii="Cambria" w:eastAsia="Arial" w:hAnsi="Cambria" w:cs="Times New Roman"/>
          <w:color w:val="151513"/>
          <w:sz w:val="24"/>
          <w:szCs w:val="24"/>
        </w:rPr>
        <w:t>propria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attività la promozione di iniziative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volte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 </w:t>
      </w:r>
      <w:r w:rsidR="008C38BC" w:rsidRPr="00AB7C17">
        <w:rPr>
          <w:rFonts w:ascii="Cambria" w:eastAsia="Arial" w:hAnsi="Cambria" w:cs="Times New Roman"/>
          <w:color w:val="151513"/>
          <w:sz w:val="24"/>
          <w:szCs w:val="24"/>
        </w:rPr>
        <w:t>garantire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la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regolarità,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la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lotta all’evasione,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la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lotta</w:t>
      </w:r>
      <w:r w:rsidR="008C38BC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al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dumping contrattuale, nonché la diffusione di buone prassi e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procedure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per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l’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evoluzione 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 la crescita competitiva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del settore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0B1230A3" w14:textId="77777777" w:rsidR="00FB5058" w:rsidRPr="00AB7C17" w:rsidRDefault="00FB5058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3E099AE" w14:textId="75630FA2" w:rsidR="00FB5058" w:rsidRPr="00AB7C17" w:rsidRDefault="00D51734" w:rsidP="009237CE">
      <w:pPr>
        <w:pStyle w:val="Paragrafoelenco"/>
        <w:numPr>
          <w:ilvl w:val="0"/>
          <w:numId w:val="2"/>
        </w:numPr>
        <w:spacing w:line="276" w:lineRule="auto"/>
        <w:ind w:right="71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in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coerenza con quanto precisato al precedente punto, le 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Parti S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ociali territoriali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settore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ACER e </w:t>
      </w:r>
      <w:proofErr w:type="spellStart"/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Feneal</w:t>
      </w:r>
      <w:proofErr w:type="spellEnd"/>
      <w:r>
        <w:rPr>
          <w:rFonts w:ascii="Cambria" w:eastAsia="Arial" w:hAnsi="Cambria" w:cs="Times New Roman"/>
          <w:color w:val="151513"/>
          <w:sz w:val="24"/>
          <w:szCs w:val="24"/>
        </w:rPr>
        <w:t>-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Uil, </w:t>
      </w:r>
      <w:proofErr w:type="spellStart"/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Filca</w:t>
      </w:r>
      <w:proofErr w:type="spellEnd"/>
      <w:r>
        <w:rPr>
          <w:rFonts w:ascii="Cambria" w:eastAsia="Arial" w:hAnsi="Cambria" w:cs="Times New Roman"/>
          <w:color w:val="151513"/>
          <w:sz w:val="24"/>
          <w:szCs w:val="24"/>
        </w:rPr>
        <w:t>-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CISL e Fillea</w:t>
      </w:r>
      <w:r>
        <w:rPr>
          <w:rFonts w:ascii="Cambria" w:eastAsia="Arial" w:hAnsi="Cambria" w:cs="Times New Roman"/>
          <w:color w:val="151513"/>
          <w:sz w:val="24"/>
          <w:szCs w:val="24"/>
        </w:rPr>
        <w:t>-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CGIL, hanno prev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>isto, con la sottoscrizione dell’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accordo di ri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>nnovo del contratto integrativo intervenuta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in data 28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novembre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2019, la costituzione dell’Uf</w:t>
      </w:r>
      <w:r w:rsidR="004F4EDD" w:rsidRPr="00AB7C17">
        <w:rPr>
          <w:rFonts w:ascii="Cambria" w:eastAsia="Arial" w:hAnsi="Cambria" w:cs="Times New Roman"/>
          <w:color w:val="151513"/>
          <w:sz w:val="24"/>
          <w:szCs w:val="24"/>
        </w:rPr>
        <w:t>ficio Legalità presso la Cassa E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dile di Roma e </w:t>
      </w:r>
      <w:r w:rsidR="00653EE6" w:rsidRPr="00AB7C17">
        <w:rPr>
          <w:rFonts w:ascii="Cambria" w:eastAsia="Arial" w:hAnsi="Cambria" w:cs="Times New Roman"/>
          <w:color w:val="151513"/>
          <w:sz w:val="24"/>
          <w:szCs w:val="24"/>
        </w:rPr>
        <w:t>Provincia</w:t>
      </w:r>
      <w:r w:rsidR="00EF1DA1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</w:p>
    <w:p w14:paraId="6A749874" w14:textId="77777777" w:rsidR="00FB5058" w:rsidRPr="00AB7C17" w:rsidRDefault="00FB5058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160977BB" w14:textId="7D4E24CB" w:rsidR="00E50344" w:rsidRPr="00AB7C17" w:rsidRDefault="00D51734" w:rsidP="009237CE">
      <w:pPr>
        <w:pStyle w:val="Paragrafoelenco"/>
        <w:numPr>
          <w:ilvl w:val="0"/>
          <w:numId w:val="4"/>
        </w:numPr>
        <w:suppressAutoHyphens/>
        <w:autoSpaceDN w:val="0"/>
        <w:spacing w:line="276" w:lineRule="auto"/>
        <w:contextualSpacing w:val="0"/>
        <w:textAlignment w:val="baseline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t</w:t>
      </w:r>
      <w:r w:rsidR="009516D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ale 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Ufficio, sulla scorta delle anomalie riscontrate nelle denunce pervenute in Cassa Edile e in una logica di tutela dei lavoratori e delle imprese regolari, dovrà </w:t>
      </w:r>
      <w:r w:rsidR="00856BE0" w:rsidRPr="00AB7C17">
        <w:rPr>
          <w:rFonts w:ascii="Cambria" w:eastAsia="Arial" w:hAnsi="Cambria" w:cs="Times New Roman"/>
          <w:color w:val="151513"/>
          <w:sz w:val="24"/>
          <w:szCs w:val="24"/>
        </w:rPr>
        <w:t>realizzare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una serie di azioni finalizzate al recupero della base imponibile</w:t>
      </w:r>
      <w:r w:rsidR="00E50344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E50344" w:rsidRPr="00AB7C17">
        <w:rPr>
          <w:rFonts w:ascii="Cambria" w:eastAsia="Arial" w:hAnsi="Cambria" w:cs="Times New Roman"/>
          <w:color w:val="151513"/>
          <w:sz w:val="24"/>
          <w:szCs w:val="24"/>
        </w:rPr>
        <w:t>nonché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all’individuazione delle imprese che, pur svolgendo lavorazioni edili, non applicano la contrattazione collettiva dell’edilizia e non risultano iscritte in Cassa Edile;</w:t>
      </w:r>
    </w:p>
    <w:p w14:paraId="0442EF65" w14:textId="77777777" w:rsidR="00EF1DA1" w:rsidRPr="00AB7C17" w:rsidRDefault="00EF1DA1" w:rsidP="009237CE">
      <w:pPr>
        <w:pStyle w:val="Paragrafoelenco"/>
        <w:suppressAutoHyphens/>
        <w:autoSpaceDN w:val="0"/>
        <w:spacing w:line="276" w:lineRule="auto"/>
        <w:ind w:left="360"/>
        <w:contextualSpacing w:val="0"/>
        <w:textAlignment w:val="baseline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6FD3E6C0" w14:textId="60AA1282" w:rsidR="004D4212" w:rsidRDefault="004D4212" w:rsidP="009237CE">
      <w:pPr>
        <w:pStyle w:val="Paragrafoelenco"/>
        <w:numPr>
          <w:ilvl w:val="0"/>
          <w:numId w:val="4"/>
        </w:numPr>
        <w:suppressAutoHyphens/>
        <w:autoSpaceDN w:val="0"/>
        <w:spacing w:line="276" w:lineRule="auto"/>
        <w:contextualSpacing w:val="0"/>
        <w:textAlignment w:val="baseline"/>
        <w:rPr>
          <w:rFonts w:ascii="Cambria" w:eastAsia="Arial" w:hAnsi="Cambria" w:cs="Times New Roman"/>
          <w:color w:val="151513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3012"/>
        <w:gridCol w:w="2942"/>
      </w:tblGrid>
      <w:tr w:rsidR="008E19EE" w:rsidRPr="008E19EE" w14:paraId="1AB4244C" w14:textId="77777777" w:rsidTr="008E19EE">
        <w:tc>
          <w:tcPr>
            <w:tcW w:w="2964" w:type="dxa"/>
            <w:vAlign w:val="center"/>
          </w:tcPr>
          <w:p w14:paraId="36F4ED44" w14:textId="77777777" w:rsidR="008E19EE" w:rsidRPr="008E19EE" w:rsidRDefault="008E19EE" w:rsidP="008E19EE">
            <w:pPr>
              <w:spacing w:line="276" w:lineRule="auto"/>
              <w:ind w:left="284"/>
              <w:jc w:val="lef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8E19EE">
              <w:rPr>
                <w:rFonts w:ascii="Cambria" w:eastAsia="Arial" w:hAnsi="Cambria" w:cs="Times New Roman"/>
                <w:noProof/>
                <w:color w:val="151513"/>
                <w:sz w:val="24"/>
                <w:szCs w:val="24"/>
              </w:rPr>
              <w:lastRenderedPageBreak/>
              <w:drawing>
                <wp:inline distT="0" distB="0" distL="0" distR="0" wp14:anchorId="0BE12C36" wp14:editId="5869DAB9">
                  <wp:extent cx="944880" cy="655320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vAlign w:val="center"/>
          </w:tcPr>
          <w:p w14:paraId="6D3F2616" w14:textId="77777777" w:rsidR="008E19EE" w:rsidRPr="008E19EE" w:rsidRDefault="008E19EE" w:rsidP="008E19EE">
            <w:pPr>
              <w:spacing w:line="276" w:lineRule="auto"/>
              <w:ind w:left="284"/>
              <w:jc w:val="lef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8E19EE">
              <w:rPr>
                <w:rFonts w:ascii="Cambria" w:eastAsia="Arial" w:hAnsi="Cambria" w:cs="Times New Roman"/>
                <w:noProof/>
                <w:color w:val="151513"/>
                <w:sz w:val="24"/>
                <w:szCs w:val="24"/>
              </w:rPr>
              <w:drawing>
                <wp:inline distT="0" distB="0" distL="0" distR="0" wp14:anchorId="6FF8D381" wp14:editId="37D6F612">
                  <wp:extent cx="1097280" cy="731520"/>
                  <wp:effectExtent l="0" t="0" r="762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2AA518C6" w14:textId="77777777" w:rsidR="008E19EE" w:rsidRPr="008E19EE" w:rsidRDefault="008E19EE" w:rsidP="008E19EE">
            <w:pPr>
              <w:spacing w:line="276" w:lineRule="auto"/>
              <w:ind w:left="284"/>
              <w:jc w:val="lef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8E19EE">
              <w:rPr>
                <w:rFonts w:ascii="Cambria" w:eastAsia="Arial" w:hAnsi="Cambria" w:cs="Times New Roman"/>
                <w:noProof/>
                <w:color w:val="151513"/>
                <w:sz w:val="24"/>
                <w:szCs w:val="24"/>
              </w:rPr>
              <w:drawing>
                <wp:inline distT="0" distB="0" distL="0" distR="0" wp14:anchorId="4CAAF445" wp14:editId="5569CBD7">
                  <wp:extent cx="883920" cy="434340"/>
                  <wp:effectExtent l="0" t="0" r="0" b="381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54" cy="44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484AAA" w14:textId="77777777" w:rsidR="004D4212" w:rsidRPr="004D4212" w:rsidRDefault="004D4212" w:rsidP="004D4212">
      <w:pPr>
        <w:pStyle w:val="Paragrafoelenco"/>
        <w:ind w:hanging="720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16E69A7C" w14:textId="7794E5A8" w:rsidR="00EF1DA1" w:rsidRPr="00E84EBC" w:rsidRDefault="00953932" w:rsidP="00E84EBC">
      <w:pPr>
        <w:suppressAutoHyphens/>
        <w:autoSpaceDN w:val="0"/>
        <w:spacing w:line="276" w:lineRule="auto"/>
        <w:ind w:left="426"/>
        <w:textAlignment w:val="baseline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’operatività esterna dell’Ufficio Legalità sarà definita in un apposito Protocollo da sottoscriversi con le Istituzioni Pubbliche, tra cui l’ITL di Roma, coinvolte nei processi di verifica del rispetto - nel cantiere edile - della disciplina legislativa in materia di lavoro (ivi compresa la normativa afferente la Sicurezza sui luoghi di lavoro e la Regolarità contributiva </w:t>
      </w:r>
      <w:r w:rsidR="00EF1DA1" w:rsidRPr="00E84EBC">
        <w:rPr>
          <w:rFonts w:ascii="Cambria" w:eastAsia="Arial" w:hAnsi="Cambria" w:cs="Times New Roman"/>
          <w:color w:val="151513"/>
          <w:sz w:val="24"/>
          <w:szCs w:val="24"/>
        </w:rPr>
        <w:t>e assistenziale)</w:t>
      </w:r>
      <w:r w:rsidR="0093309D" w:rsidRPr="00E84EBC">
        <w:rPr>
          <w:rFonts w:ascii="Cambria" w:eastAsia="Arial" w:hAnsi="Cambria" w:cs="Times New Roman"/>
          <w:color w:val="151513"/>
          <w:sz w:val="24"/>
          <w:szCs w:val="24"/>
        </w:rPr>
        <w:t xml:space="preserve">, </w:t>
      </w:r>
      <w:r w:rsidR="00EF1DA1" w:rsidRPr="00E84EBC">
        <w:rPr>
          <w:rFonts w:ascii="Cambria" w:eastAsia="Arial" w:hAnsi="Cambria" w:cs="Times New Roman"/>
          <w:color w:val="151513"/>
          <w:sz w:val="24"/>
          <w:szCs w:val="24"/>
        </w:rPr>
        <w:t>nonch</w:t>
      </w:r>
      <w:r w:rsidR="006177DB" w:rsidRPr="00E84EBC">
        <w:rPr>
          <w:rFonts w:ascii="Cambria" w:eastAsia="Arial" w:hAnsi="Cambria" w:cs="Times New Roman"/>
          <w:color w:val="151513"/>
          <w:sz w:val="24"/>
          <w:szCs w:val="24"/>
        </w:rPr>
        <w:t>é</w:t>
      </w:r>
      <w:r w:rsidR="00EF1DA1" w:rsidRPr="00E84EBC">
        <w:rPr>
          <w:rFonts w:ascii="Cambria" w:eastAsia="Arial" w:hAnsi="Cambria" w:cs="Times New Roman"/>
          <w:color w:val="151513"/>
          <w:sz w:val="24"/>
          <w:szCs w:val="24"/>
        </w:rPr>
        <w:t xml:space="preserve"> dell’osservanza del contratto collettivo nazionale di lavoro dell’edilizia e della relativa contrattazione integrativa territoriale.</w:t>
      </w:r>
    </w:p>
    <w:p w14:paraId="27C141A5" w14:textId="28DDE3F2" w:rsidR="00302A30" w:rsidRPr="00AB7C17" w:rsidRDefault="00302A30" w:rsidP="009237CE">
      <w:pPr>
        <w:pStyle w:val="Paragrafoelenco"/>
        <w:suppressAutoHyphens/>
        <w:autoSpaceDN w:val="0"/>
        <w:spacing w:line="276" w:lineRule="auto"/>
        <w:ind w:left="360"/>
        <w:contextualSpacing w:val="0"/>
        <w:textAlignment w:val="baseline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3C000C11" w14:textId="77777777" w:rsidR="00836468" w:rsidRPr="00D51734" w:rsidRDefault="00836468" w:rsidP="009237CE">
      <w:pPr>
        <w:tabs>
          <w:tab w:val="left" w:pos="5480"/>
          <w:tab w:val="left" w:pos="6920"/>
          <w:tab w:val="left" w:pos="7860"/>
        </w:tabs>
        <w:spacing w:line="276" w:lineRule="auto"/>
        <w:ind w:right="103"/>
        <w:jc w:val="center"/>
        <w:rPr>
          <w:rFonts w:ascii="Cambria" w:eastAsia="Arial" w:hAnsi="Cambria" w:cs="Times New Roman"/>
          <w:b/>
          <w:bCs/>
          <w:color w:val="151513"/>
          <w:sz w:val="24"/>
          <w:szCs w:val="24"/>
        </w:rPr>
      </w:pPr>
      <w:r w:rsidRPr="00D51734">
        <w:rPr>
          <w:rFonts w:ascii="Cambria" w:eastAsia="Arial" w:hAnsi="Cambria" w:cs="Times New Roman"/>
          <w:b/>
          <w:bCs/>
          <w:color w:val="151513"/>
          <w:sz w:val="24"/>
          <w:szCs w:val="24"/>
        </w:rPr>
        <w:t>Tutto ciò premesso, si conviene quanto segue:</w:t>
      </w:r>
    </w:p>
    <w:p w14:paraId="68DBB9B2" w14:textId="77777777" w:rsidR="00302A30" w:rsidRPr="00D51734" w:rsidRDefault="00302A30" w:rsidP="009237CE">
      <w:pPr>
        <w:tabs>
          <w:tab w:val="left" w:pos="5480"/>
          <w:tab w:val="left" w:pos="6920"/>
          <w:tab w:val="left" w:pos="7860"/>
        </w:tabs>
        <w:spacing w:line="276" w:lineRule="auto"/>
        <w:ind w:right="103"/>
        <w:jc w:val="center"/>
        <w:rPr>
          <w:rFonts w:ascii="Cambria" w:eastAsia="Arial" w:hAnsi="Cambria" w:cs="Times New Roman"/>
          <w:b/>
          <w:bCs/>
          <w:color w:val="151513"/>
          <w:sz w:val="24"/>
          <w:szCs w:val="24"/>
        </w:rPr>
      </w:pPr>
    </w:p>
    <w:p w14:paraId="506FD37B" w14:textId="59564693" w:rsidR="00302A30" w:rsidRPr="00AB7C17" w:rsidRDefault="00D51734" w:rsidP="009237CE">
      <w:pPr>
        <w:pStyle w:val="Paragrafoelenco"/>
        <w:numPr>
          <w:ilvl w:val="0"/>
          <w:numId w:val="2"/>
        </w:numPr>
        <w:tabs>
          <w:tab w:val="left" w:pos="5480"/>
          <w:tab w:val="left" w:pos="6920"/>
          <w:tab w:val="left" w:pos="7860"/>
        </w:tabs>
        <w:spacing w:line="276" w:lineRule="auto"/>
        <w:ind w:right="103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302A30" w:rsidRPr="00AB7C17">
        <w:rPr>
          <w:rFonts w:ascii="Cambria" w:eastAsia="Arial" w:hAnsi="Cambria" w:cs="Times New Roman"/>
          <w:color w:val="151513"/>
          <w:sz w:val="24"/>
          <w:szCs w:val="24"/>
        </w:rPr>
        <w:t>e Premesse costituiscono parte integrante e sostanziale del Protocollo</w:t>
      </w:r>
      <w:r>
        <w:rPr>
          <w:rFonts w:ascii="Cambria" w:eastAsia="Arial" w:hAnsi="Cambria" w:cs="Times New Roman"/>
          <w:color w:val="151513"/>
          <w:sz w:val="24"/>
          <w:szCs w:val="24"/>
        </w:rPr>
        <w:t xml:space="preserve"> d’Intesa</w:t>
      </w:r>
      <w:r w:rsidR="00302A30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6D10EC26" w14:textId="77777777" w:rsidR="00836468" w:rsidRPr="00AB7C17" w:rsidRDefault="00836468" w:rsidP="009237CE">
      <w:pPr>
        <w:spacing w:line="276" w:lineRule="auto"/>
        <w:jc w:val="center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3D405F2C" w14:textId="7BB1F1CF" w:rsidR="00836468" w:rsidRDefault="00D51734" w:rsidP="009237CE">
      <w:pPr>
        <w:pStyle w:val="Paragrafoelenco"/>
        <w:numPr>
          <w:ilvl w:val="0"/>
          <w:numId w:val="2"/>
        </w:numPr>
        <w:spacing w:line="276" w:lineRule="auto"/>
        <w:ind w:right="270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 forme di scambio di informazioni e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dei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dati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dovranno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avvenire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nel rispetto della normativa di cui al Regolamento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UE 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>679/2016</w:t>
      </w:r>
      <w:r w:rsidR="00E6032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-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seguito 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>“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GDPR</w:t>
      </w:r>
      <w:r w:rsidR="00CE325D" w:rsidRPr="00AB7C17">
        <w:rPr>
          <w:rFonts w:ascii="Cambria" w:eastAsia="Arial" w:hAnsi="Cambria" w:cs="Times New Roman"/>
          <w:color w:val="151513"/>
          <w:sz w:val="24"/>
          <w:szCs w:val="24"/>
        </w:rPr>
        <w:t>”</w:t>
      </w:r>
      <w:r w:rsidR="00E6032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-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 al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proofErr w:type="spellStart"/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D.</w:t>
      </w: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gs.</w:t>
      </w:r>
      <w:proofErr w:type="spellEnd"/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10 agosto 2018 n. 101</w:t>
      </w:r>
      <w:r w:rsidR="00CE325D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4DA9A01D" w14:textId="77777777" w:rsidR="00D51734" w:rsidRPr="00D51734" w:rsidRDefault="00D51734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1AD5FF6" w14:textId="7722CF60" w:rsidR="002A309E" w:rsidRPr="00AB7C17" w:rsidRDefault="00D51734" w:rsidP="009237CE">
      <w:pPr>
        <w:pStyle w:val="Paragrafoelenco"/>
        <w:numPr>
          <w:ilvl w:val="0"/>
          <w:numId w:val="2"/>
        </w:numPr>
        <w:spacing w:line="276" w:lineRule="auto"/>
        <w:ind w:right="270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2A309E" w:rsidRPr="00AB7C17">
        <w:rPr>
          <w:rFonts w:ascii="Cambria" w:eastAsia="Arial" w:hAnsi="Cambria" w:cs="Times New Roman"/>
          <w:color w:val="151513"/>
          <w:sz w:val="24"/>
          <w:szCs w:val="24"/>
        </w:rPr>
        <w:t>o scambio delle informazioni dovrà intervenire limitatamente ai soli dati personali necessari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2A309E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pertinenti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 adeguati</w:t>
      </w:r>
      <w:r w:rsidR="002A309E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rispetto alle finalità del presente Protocollo, in ossequio al 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principio di minimizzazione dei dati espresso dall’all</w:t>
      </w:r>
      <w:r>
        <w:rPr>
          <w:rFonts w:ascii="Cambria" w:eastAsia="Arial" w:hAnsi="Cambria" w:cs="Times New Roman"/>
          <w:color w:val="151513"/>
          <w:sz w:val="24"/>
          <w:szCs w:val="24"/>
        </w:rPr>
        <w:t xml:space="preserve">egato 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>art</w:t>
      </w:r>
      <w:r>
        <w:rPr>
          <w:rFonts w:ascii="Cambria" w:eastAsia="Arial" w:hAnsi="Cambria" w:cs="Times New Roman"/>
          <w:color w:val="151513"/>
          <w:sz w:val="24"/>
          <w:szCs w:val="24"/>
        </w:rPr>
        <w:t>icolo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5, lettera c) del GDPR</w:t>
      </w:r>
      <w:r w:rsidR="00CE325D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</w:p>
    <w:p w14:paraId="03475363" w14:textId="77777777" w:rsidR="000F4467" w:rsidRPr="00AB7C17" w:rsidRDefault="000F4467" w:rsidP="009237CE">
      <w:pPr>
        <w:pStyle w:val="Paragrafoelenco"/>
        <w:spacing w:line="276" w:lineRule="auto"/>
        <w:ind w:left="420" w:right="270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6256A978" w14:textId="3243F5F1" w:rsidR="000F4467" w:rsidRPr="00AB7C17" w:rsidRDefault="00D51734" w:rsidP="009237CE">
      <w:pPr>
        <w:pStyle w:val="Paragrafoelenco"/>
        <w:numPr>
          <w:ilvl w:val="0"/>
          <w:numId w:val="2"/>
        </w:numPr>
        <w:spacing w:line="276" w:lineRule="auto"/>
        <w:ind w:right="123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0660E9" w:rsidRPr="00AB7C17">
        <w:rPr>
          <w:rFonts w:ascii="Cambria" w:eastAsia="Arial" w:hAnsi="Cambria" w:cs="Times New Roman"/>
          <w:color w:val="151513"/>
          <w:sz w:val="24"/>
          <w:szCs w:val="24"/>
        </w:rPr>
        <w:t>o scambio dei dati e delle informazioni e le relative modalità di condivisione</w:t>
      </w:r>
      <w:r w:rsidR="002A309E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E947D7" w:rsidRPr="00AB7C17">
        <w:rPr>
          <w:rFonts w:ascii="Cambria" w:eastAsia="Arial" w:hAnsi="Cambria" w:cs="Times New Roman"/>
          <w:color w:val="151513"/>
          <w:sz w:val="24"/>
          <w:szCs w:val="24"/>
        </w:rPr>
        <w:t>dovranno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intervenire per consentire le verifiche di competenza dell’Ispettorato e per garantire l’osservanza dei corretti adempimenti verso la Casse Edile; </w:t>
      </w:r>
    </w:p>
    <w:p w14:paraId="31B05CC1" w14:textId="77777777" w:rsidR="00836468" w:rsidRPr="00AB7C17" w:rsidRDefault="00836468" w:rsidP="009237CE">
      <w:pPr>
        <w:pStyle w:val="Paragrafoelenco"/>
        <w:spacing w:before="1" w:line="276" w:lineRule="auto"/>
        <w:ind w:left="420" w:right="196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5E321C4" w14:textId="2F0E0307" w:rsidR="00FB5058" w:rsidRPr="00AB7C17" w:rsidRDefault="00D51734" w:rsidP="009237CE">
      <w:pPr>
        <w:pStyle w:val="Paragrafoelenco"/>
        <w:numPr>
          <w:ilvl w:val="0"/>
          <w:numId w:val="2"/>
        </w:numPr>
        <w:spacing w:before="1" w:line="276" w:lineRule="auto"/>
        <w:ind w:right="196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o scambio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d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>ovrà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essere mirato</w:t>
      </w:r>
      <w:r w:rsidR="000F4467" w:rsidRPr="00AB7C17">
        <w:rPr>
          <w:rFonts w:ascii="Cambria" w:eastAsia="Arial" w:hAnsi="Cambria" w:cs="Times New Roman"/>
          <w:color w:val="151513"/>
          <w:sz w:val="24"/>
          <w:szCs w:val="24"/>
        </w:rPr>
        <w:t>, pertanto,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garantire la trasparenza</w:t>
      </w:r>
      <w:r w:rsidR="008B6C6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 la correttezza dei soggetti operanti sul mercato e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a contrastare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il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dumping contrattuale che, come noto, mina gravemente </w:t>
      </w:r>
      <w:r w:rsidR="00B66B9A" w:rsidRPr="00AB7C17">
        <w:rPr>
          <w:rFonts w:ascii="Cambria" w:eastAsia="Arial" w:hAnsi="Cambria" w:cs="Times New Roman"/>
          <w:color w:val="151513"/>
          <w:sz w:val="24"/>
          <w:szCs w:val="24"/>
        </w:rPr>
        <w:t>l’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equilibrio del </w:t>
      </w:r>
      <w:r w:rsidR="001F56FE" w:rsidRPr="00AB7C17">
        <w:rPr>
          <w:rFonts w:ascii="Cambria" w:eastAsia="Arial" w:hAnsi="Cambria" w:cs="Times New Roman"/>
          <w:color w:val="151513"/>
          <w:sz w:val="24"/>
          <w:szCs w:val="24"/>
        </w:rPr>
        <w:t>mercato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 la garanzia della </w:t>
      </w:r>
      <w:r w:rsidR="008B6C60" w:rsidRPr="00AB7C17">
        <w:rPr>
          <w:rFonts w:ascii="Cambria" w:eastAsia="Arial" w:hAnsi="Cambria" w:cs="Times New Roman"/>
          <w:color w:val="151513"/>
          <w:sz w:val="24"/>
          <w:szCs w:val="24"/>
        </w:rPr>
        <w:t>tutela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</w:t>
      </w:r>
      <w:r w:rsidR="008B6C60" w:rsidRPr="00AB7C17">
        <w:rPr>
          <w:rFonts w:ascii="Cambria" w:eastAsia="Arial" w:hAnsi="Cambria" w:cs="Times New Roman"/>
          <w:color w:val="151513"/>
          <w:sz w:val="24"/>
          <w:szCs w:val="24"/>
        </w:rPr>
        <w:t>imprese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</w:t>
      </w:r>
      <w:r w:rsidR="008B6C60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D02280" w:rsidRPr="00AB7C17">
        <w:rPr>
          <w:rFonts w:ascii="Cambria" w:eastAsia="Arial" w:hAnsi="Cambria" w:cs="Times New Roman"/>
          <w:color w:val="151513"/>
          <w:sz w:val="24"/>
          <w:szCs w:val="24"/>
        </w:rPr>
        <w:t>lavoratori coinvolti;</w:t>
      </w:r>
    </w:p>
    <w:p w14:paraId="7EBA9111" w14:textId="77777777" w:rsidR="00D02280" w:rsidRPr="00AB7C17" w:rsidRDefault="00D02280" w:rsidP="009237CE">
      <w:pPr>
        <w:tabs>
          <w:tab w:val="left" w:pos="2280"/>
          <w:tab w:val="left" w:pos="2780"/>
          <w:tab w:val="left" w:pos="4240"/>
          <w:tab w:val="left" w:pos="4980"/>
          <w:tab w:val="left" w:pos="6080"/>
          <w:tab w:val="left" w:pos="6640"/>
          <w:tab w:val="left" w:pos="7660"/>
        </w:tabs>
        <w:spacing w:line="276" w:lineRule="auto"/>
        <w:ind w:right="104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65C2991" w14:textId="257CA554" w:rsidR="00836468" w:rsidRPr="00AB7C17" w:rsidRDefault="00D51734" w:rsidP="009237CE">
      <w:pPr>
        <w:pStyle w:val="Paragrafoelenco"/>
        <w:numPr>
          <w:ilvl w:val="0"/>
          <w:numId w:val="2"/>
        </w:numPr>
        <w:tabs>
          <w:tab w:val="left" w:pos="2280"/>
          <w:tab w:val="left" w:pos="2780"/>
          <w:tab w:val="left" w:pos="4240"/>
          <w:tab w:val="left" w:pos="4980"/>
          <w:tab w:val="left" w:pos="6080"/>
          <w:tab w:val="left" w:pos="6640"/>
          <w:tab w:val="left" w:pos="7660"/>
        </w:tabs>
        <w:spacing w:line="276" w:lineRule="auto"/>
        <w:ind w:right="104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C4606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n conformità a quanto indicato nella Comunicazione CNCE n. 773/2021, la Cassa Edile 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 xml:space="preserve">e il CEFMECTP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individua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>no</w:t>
      </w:r>
      <w:r w:rsidR="001B5B33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 xml:space="preserve"> rispettivamente</w:t>
      </w:r>
      <w:r w:rsidR="00C4606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come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canal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dedicat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comunicazione</w:t>
      </w:r>
      <w:r w:rsidR="00C4606A" w:rsidRPr="00AB7C17">
        <w:rPr>
          <w:rFonts w:ascii="Cambria" w:eastAsia="Arial" w:hAnsi="Cambria" w:cs="Times New Roman"/>
          <w:color w:val="151513"/>
          <w:sz w:val="24"/>
          <w:szCs w:val="24"/>
        </w:rPr>
        <w:t>, i seguent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C4606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indirizz</w:t>
      </w:r>
      <w:r w:rsidR="005C7C5E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C4606A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posta elettronica</w:t>
      </w:r>
      <w:r w:rsidR="008040F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: </w:t>
      </w:r>
      <w:r w:rsidR="00D12C8C">
        <w:rPr>
          <w:rFonts w:ascii="Cambria" w:eastAsia="Arial" w:hAnsi="Cambria" w:cs="Times New Roman"/>
          <w:color w:val="151513"/>
          <w:sz w:val="24"/>
          <w:szCs w:val="24"/>
        </w:rPr>
        <w:t xml:space="preserve">1) </w:t>
      </w:r>
      <w:hyperlink r:id="rId12" w:history="1">
        <w:r w:rsidR="00D12C8C" w:rsidRPr="006F02F3">
          <w:rPr>
            <w:rStyle w:val="Collegamentoipertestuale"/>
            <w:rFonts w:ascii="Cambria" w:eastAsia="Arial" w:hAnsi="Cambria" w:cs="Times New Roman"/>
            <w:sz w:val="24"/>
            <w:szCs w:val="24"/>
          </w:rPr>
          <w:t>segreteria@cefmectp.it</w:t>
        </w:r>
      </w:hyperlink>
      <w:r w:rsidR="00D12C8C">
        <w:rPr>
          <w:rFonts w:ascii="Cambria" w:eastAsia="Arial" w:hAnsi="Cambria" w:cs="Times New Roman"/>
          <w:color w:val="151513"/>
          <w:sz w:val="24"/>
          <w:szCs w:val="24"/>
        </w:rPr>
        <w:t xml:space="preserve">; </w:t>
      </w:r>
      <w:r w:rsidR="005C7C5E" w:rsidRPr="00731124">
        <w:rPr>
          <w:rFonts w:ascii="Cambria" w:eastAsia="Arial" w:hAnsi="Cambria" w:cs="Times New Roman"/>
          <w:color w:val="151513"/>
          <w:sz w:val="24"/>
          <w:szCs w:val="24"/>
        </w:rPr>
        <w:t>2</w:t>
      </w:r>
      <w:r w:rsidR="00731124">
        <w:rPr>
          <w:rFonts w:ascii="Cambria" w:eastAsia="Arial" w:hAnsi="Cambria" w:cs="Times New Roman"/>
          <w:color w:val="151513"/>
          <w:sz w:val="24"/>
          <w:szCs w:val="24"/>
        </w:rPr>
        <w:t xml:space="preserve">) </w:t>
      </w:r>
      <w:hyperlink r:id="rId13" w:history="1">
        <w:r w:rsidR="00731124" w:rsidRPr="009D0BB9">
          <w:rPr>
            <w:rStyle w:val="Collegamentoipertestuale"/>
            <w:rFonts w:ascii="Cambria" w:eastAsia="Arial" w:hAnsi="Cambria" w:cs="Times New Roman"/>
            <w:sz w:val="24"/>
            <w:szCs w:val="24"/>
          </w:rPr>
          <w:t>segreteria.direzione@cassaedilediroma.it</w:t>
        </w:r>
      </w:hyperlink>
      <w:r w:rsidR="00861972">
        <w:rPr>
          <w:rFonts w:ascii="Cambria" w:eastAsia="Arial" w:hAnsi="Cambria" w:cs="Times New Roman"/>
          <w:color w:val="151513"/>
          <w:sz w:val="24"/>
          <w:szCs w:val="24"/>
        </w:rPr>
        <w:t>.</w:t>
      </w:r>
      <w:r w:rsidR="004F2EB1" w:rsidRPr="004F2EB1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4F2EB1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4F2EB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canal</w:t>
      </w:r>
      <w:r w:rsidR="004F2EB1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4F2EB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A70268" w:rsidRPr="00AB7C17">
        <w:rPr>
          <w:rFonts w:ascii="Cambria" w:eastAsia="Arial" w:hAnsi="Cambria" w:cs="Times New Roman"/>
          <w:color w:val="151513"/>
          <w:sz w:val="24"/>
          <w:szCs w:val="24"/>
        </w:rPr>
        <w:t>indicat</w:t>
      </w:r>
      <w:r w:rsidR="004F2EB1">
        <w:rPr>
          <w:rFonts w:ascii="Cambria" w:eastAsia="Arial" w:hAnsi="Cambria" w:cs="Times New Roman"/>
          <w:color w:val="151513"/>
          <w:sz w:val="24"/>
          <w:szCs w:val="24"/>
        </w:rPr>
        <w:t xml:space="preserve">i </w:t>
      </w:r>
      <w:r w:rsidR="00A70268" w:rsidRPr="00AB7C17">
        <w:rPr>
          <w:rFonts w:ascii="Cambria" w:eastAsia="Arial" w:hAnsi="Cambria" w:cs="Times New Roman"/>
          <w:color w:val="151513"/>
          <w:sz w:val="24"/>
          <w:szCs w:val="24"/>
        </w:rPr>
        <w:t>potr</w:t>
      </w:r>
      <w:r w:rsidR="004F2EB1">
        <w:rPr>
          <w:rFonts w:ascii="Cambria" w:eastAsia="Arial" w:hAnsi="Cambria" w:cs="Times New Roman"/>
          <w:color w:val="151513"/>
          <w:sz w:val="24"/>
          <w:szCs w:val="24"/>
        </w:rPr>
        <w:t>anno</w:t>
      </w:r>
      <w:r w:rsidR="00A702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essere utilizzat</w:t>
      </w:r>
      <w:r w:rsidR="004F2EB1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A702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anche per le consuete richieste formulate nel corso degli accertamenti dell’organo di vigilanza;</w:t>
      </w:r>
    </w:p>
    <w:p w14:paraId="28B38B33" w14:textId="77777777" w:rsidR="00836468" w:rsidRPr="00AB7C17" w:rsidRDefault="00836468" w:rsidP="009237CE">
      <w:pPr>
        <w:tabs>
          <w:tab w:val="left" w:pos="2280"/>
          <w:tab w:val="left" w:pos="2780"/>
          <w:tab w:val="left" w:pos="4240"/>
          <w:tab w:val="left" w:pos="4980"/>
          <w:tab w:val="left" w:pos="6080"/>
          <w:tab w:val="left" w:pos="6640"/>
          <w:tab w:val="left" w:pos="7660"/>
        </w:tabs>
        <w:spacing w:line="276" w:lineRule="auto"/>
        <w:ind w:right="104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31DB07B6" w14:textId="1A4FD0AE" w:rsidR="00836468" w:rsidRPr="00953932" w:rsidRDefault="00D51734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 w:rsidRPr="00953932"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e Parti si danno atto che la conoscenza dei dati relativi ai lavori edili in corso di svolgimento nel territorio di Roma e </w:t>
      </w:r>
      <w:r w:rsidR="009237CE" w:rsidRPr="00953932">
        <w:rPr>
          <w:rFonts w:ascii="Cambria" w:eastAsia="Arial" w:hAnsi="Cambria" w:cs="Times New Roman"/>
          <w:color w:val="151513"/>
          <w:sz w:val="24"/>
          <w:szCs w:val="24"/>
        </w:rPr>
        <w:t>p</w:t>
      </w:r>
      <w:r w:rsidR="00653EE6" w:rsidRPr="00953932">
        <w:rPr>
          <w:rFonts w:ascii="Cambria" w:eastAsia="Arial" w:hAnsi="Cambria" w:cs="Times New Roman"/>
          <w:color w:val="151513"/>
          <w:sz w:val="24"/>
          <w:szCs w:val="24"/>
        </w:rPr>
        <w:t>rovincia</w:t>
      </w:r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>, come comunicati all’Ispettorato con le notifiche prelimi</w:t>
      </w:r>
      <w:r w:rsidR="002D112C" w:rsidRPr="00953932">
        <w:rPr>
          <w:rFonts w:ascii="Cambria" w:eastAsia="Arial" w:hAnsi="Cambria" w:cs="Times New Roman"/>
          <w:color w:val="151513"/>
          <w:sz w:val="24"/>
          <w:szCs w:val="24"/>
        </w:rPr>
        <w:t>nari di cui all’art</w:t>
      </w:r>
      <w:r w:rsidR="009237CE" w:rsidRPr="00953932">
        <w:rPr>
          <w:rFonts w:ascii="Cambria" w:eastAsia="Arial" w:hAnsi="Cambria" w:cs="Times New Roman"/>
          <w:color w:val="151513"/>
          <w:sz w:val="24"/>
          <w:szCs w:val="24"/>
        </w:rPr>
        <w:t>icolo</w:t>
      </w:r>
      <w:r w:rsidR="002D112C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 99 del </w:t>
      </w:r>
      <w:proofErr w:type="spellStart"/>
      <w:r w:rsidR="002D112C" w:rsidRPr="00953932">
        <w:rPr>
          <w:rFonts w:ascii="Cambria" w:eastAsia="Arial" w:hAnsi="Cambria" w:cs="Times New Roman"/>
          <w:color w:val="151513"/>
          <w:sz w:val="24"/>
          <w:szCs w:val="24"/>
        </w:rPr>
        <w:t>D.</w:t>
      </w:r>
      <w:r w:rsidR="009237CE" w:rsidRPr="00953932"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>gs.</w:t>
      </w:r>
      <w:proofErr w:type="spellEnd"/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 n. 81/</w:t>
      </w:r>
      <w:r w:rsidR="002D112C" w:rsidRPr="00953932">
        <w:rPr>
          <w:rFonts w:ascii="Cambria" w:eastAsia="Arial" w:hAnsi="Cambria" w:cs="Times New Roman"/>
          <w:color w:val="151513"/>
          <w:sz w:val="24"/>
          <w:szCs w:val="24"/>
        </w:rPr>
        <w:t>20</w:t>
      </w:r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>08, consente alla Cassa Edile e al CEFMECTP di svolgere in maniera p</w:t>
      </w:r>
      <w:r w:rsidR="00337884" w:rsidRPr="00953932">
        <w:rPr>
          <w:rFonts w:ascii="Cambria" w:eastAsia="Arial" w:hAnsi="Cambria" w:cs="Times New Roman"/>
          <w:color w:val="151513"/>
          <w:sz w:val="24"/>
          <w:szCs w:val="24"/>
        </w:rPr>
        <w:t>iù efficace le proprie funzioni. In particolare,</w:t>
      </w:r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337884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si intendono qui richiamati i compiti degli </w:t>
      </w:r>
      <w:r w:rsidR="005A1AA7" w:rsidRPr="00953932">
        <w:rPr>
          <w:rFonts w:ascii="Cambria" w:eastAsia="Arial" w:hAnsi="Cambria" w:cs="Times New Roman"/>
          <w:color w:val="151513"/>
          <w:sz w:val="24"/>
          <w:szCs w:val="24"/>
        </w:rPr>
        <w:t>Organismi P</w:t>
      </w:r>
      <w:r w:rsidR="00337884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aritetici </w:t>
      </w:r>
      <w:r w:rsidR="00836468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di </w:t>
      </w:r>
      <w:r w:rsidR="00BC6430" w:rsidRPr="00953932">
        <w:rPr>
          <w:rFonts w:ascii="Cambria" w:eastAsia="Arial" w:hAnsi="Cambria" w:cs="Times New Roman"/>
          <w:color w:val="151513"/>
          <w:sz w:val="24"/>
          <w:szCs w:val="24"/>
        </w:rPr>
        <w:t xml:space="preserve">verifica del regolare adempimento degli obblighi di iscrizione e versamento nei confronti della Cassa Edile, 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004"/>
        <w:gridCol w:w="2948"/>
      </w:tblGrid>
      <w:tr w:rsidR="008E19EE" w14:paraId="441216DD" w14:textId="77777777" w:rsidTr="00BF583B">
        <w:tc>
          <w:tcPr>
            <w:tcW w:w="3209" w:type="dxa"/>
            <w:vAlign w:val="center"/>
          </w:tcPr>
          <w:p w14:paraId="6B8624EC" w14:textId="77777777" w:rsidR="008E19EE" w:rsidRDefault="008E19EE" w:rsidP="00BF583B">
            <w:pPr>
              <w:pStyle w:val="Paragrafoelenco"/>
              <w:ind w:left="0"/>
              <w:jc w:val="lef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noProof/>
                <w:color w:val="151513"/>
                <w:sz w:val="24"/>
                <w:szCs w:val="24"/>
              </w:rPr>
              <w:lastRenderedPageBreak/>
              <w:drawing>
                <wp:inline distT="0" distB="0" distL="0" distR="0" wp14:anchorId="050407D0" wp14:editId="06AC5CC8">
                  <wp:extent cx="944880" cy="655320"/>
                  <wp:effectExtent l="0" t="0" r="762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1443693F" w14:textId="77777777" w:rsidR="008E19EE" w:rsidRDefault="008E19EE" w:rsidP="00BF583B">
            <w:pPr>
              <w:pStyle w:val="Paragrafoelenco"/>
              <w:ind w:left="0"/>
              <w:jc w:val="center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5C32BF">
              <w:rPr>
                <w:noProof/>
              </w:rPr>
              <w:drawing>
                <wp:inline distT="0" distB="0" distL="0" distR="0" wp14:anchorId="1D700A33" wp14:editId="6E43FA13">
                  <wp:extent cx="1097280" cy="731520"/>
                  <wp:effectExtent l="0" t="0" r="762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792964EF" w14:textId="77777777" w:rsidR="008E19EE" w:rsidRDefault="008E19EE" w:rsidP="00BF583B">
            <w:pPr>
              <w:pStyle w:val="Paragrafoelenco"/>
              <w:ind w:left="0"/>
              <w:jc w:val="righ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5C32BF">
              <w:rPr>
                <w:noProof/>
              </w:rPr>
              <w:drawing>
                <wp:inline distT="0" distB="0" distL="0" distR="0" wp14:anchorId="40DDA9E8" wp14:editId="12CBFEA1">
                  <wp:extent cx="883920" cy="434340"/>
                  <wp:effectExtent l="0" t="0" r="0" b="381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54" cy="44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17177" w14:textId="481AABE0" w:rsidR="005837DA" w:rsidRDefault="005837DA" w:rsidP="005837DA">
      <w:pPr>
        <w:pStyle w:val="Paragrafoelenco"/>
        <w:ind w:hanging="720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03056E11" w14:textId="77777777" w:rsidR="00953932" w:rsidRPr="00AB7C17" w:rsidRDefault="00953932" w:rsidP="00953932">
      <w:pPr>
        <w:pStyle w:val="Paragrafoelenco"/>
        <w:spacing w:line="276" w:lineRule="auto"/>
        <w:ind w:left="420"/>
        <w:rPr>
          <w:rFonts w:ascii="Cambria" w:eastAsia="Arial" w:hAnsi="Cambria" w:cs="Times New Roman"/>
          <w:color w:val="151513"/>
          <w:sz w:val="24"/>
          <w:szCs w:val="24"/>
        </w:rPr>
      </w:pPr>
      <w:r w:rsidRPr="00AB7C17">
        <w:rPr>
          <w:rFonts w:ascii="Cambria" w:eastAsia="Arial" w:hAnsi="Cambria" w:cs="Times New Roman"/>
          <w:color w:val="151513"/>
          <w:sz w:val="24"/>
          <w:szCs w:val="24"/>
        </w:rPr>
        <w:t>anche ai fini dell’attestazione di regolarità contributiva (Durc), di assistenza e consulenza a imprese e lavoratori in materia di sicurezza sul lavoro e formazione professionale;</w:t>
      </w:r>
    </w:p>
    <w:p w14:paraId="3C800319" w14:textId="77777777" w:rsidR="00F70E19" w:rsidRDefault="00F70E19" w:rsidP="00F70E19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a</w:t>
      </w:r>
      <w:r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l fine di informatizzare e dematerializzare la trasmissione delle notifiche preliminari, la Cassa Edile e il CEFMECTP metteranno a disposizione le proprie risorse tecniche e </w:t>
      </w:r>
      <w:r>
        <w:rPr>
          <w:rFonts w:ascii="Cambria" w:eastAsia="Arial" w:hAnsi="Cambria" w:cs="Times New Roman"/>
          <w:color w:val="151513"/>
          <w:sz w:val="24"/>
          <w:szCs w:val="24"/>
        </w:rPr>
        <w:t xml:space="preserve">  </w:t>
      </w:r>
    </w:p>
    <w:p w14:paraId="3AC3AB08" w14:textId="4CDBC68E" w:rsidR="00A37282" w:rsidRPr="005837DA" w:rsidRDefault="00A37282" w:rsidP="005837DA">
      <w:pPr>
        <w:spacing w:line="276" w:lineRule="auto"/>
        <w:ind w:left="426"/>
        <w:rPr>
          <w:rFonts w:ascii="Cambria" w:eastAsia="Arial" w:hAnsi="Cambria" w:cs="Times New Roman"/>
          <w:color w:val="151513"/>
          <w:sz w:val="24"/>
          <w:szCs w:val="24"/>
        </w:rPr>
      </w:pPr>
      <w:r w:rsidRPr="005837DA">
        <w:rPr>
          <w:rFonts w:ascii="Cambria" w:eastAsia="Arial" w:hAnsi="Cambria" w:cs="Times New Roman"/>
          <w:color w:val="151513"/>
          <w:sz w:val="24"/>
          <w:szCs w:val="24"/>
        </w:rPr>
        <w:t>tecnologiche per la costituzione operativa del sistema informativo di cui al Protocollo d’Intesa Nazionale;</w:t>
      </w:r>
    </w:p>
    <w:p w14:paraId="7F852A8B" w14:textId="77777777" w:rsidR="00836468" w:rsidRPr="00AB7C17" w:rsidRDefault="00836468" w:rsidP="009237CE">
      <w:p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32BE1221" w14:textId="6B02BEF3" w:rsidR="00836468" w:rsidRPr="00AB7C17" w:rsidRDefault="009237CE" w:rsidP="009237CE">
      <w:pPr>
        <w:pStyle w:val="Paragrafoelenco"/>
        <w:numPr>
          <w:ilvl w:val="0"/>
          <w:numId w:val="2"/>
        </w:numPr>
        <w:spacing w:line="276" w:lineRule="auto"/>
        <w:ind w:right="123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e P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arti procederanno, 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attraverso il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A702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suddetto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sistema informatico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>e mediante il canale dedicato sopra specificato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, allo scambio di dati e delle analisi utili</w:t>
      </w:r>
      <w:r w:rsidR="00A702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205A9F" w:rsidRPr="00AB7C17">
        <w:rPr>
          <w:rFonts w:ascii="Cambria" w:eastAsia="Arial" w:hAnsi="Cambria" w:cs="Times New Roman"/>
          <w:color w:val="151513"/>
          <w:sz w:val="24"/>
          <w:szCs w:val="24"/>
        </w:rPr>
        <w:t>alle verifiche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competenza dell’ITL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 dei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corretti adempimenti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da parte delle imprese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verso la Cassa Edile; </w:t>
      </w:r>
    </w:p>
    <w:p w14:paraId="40CA4ABD" w14:textId="77777777" w:rsidR="002B6CA1" w:rsidRPr="00AB7C17" w:rsidRDefault="002B6CA1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2BA20AD4" w14:textId="1C6A70D2" w:rsidR="002B6CA1" w:rsidRPr="00AB7C17" w:rsidRDefault="009237CE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p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>er le notifiche preliminari da inviare tramite il suddetto sistema informatico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le Parti concordano l’adozione di 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>un modulo standard contenente, oltre ai campi relativi alle informazioni obbligatorie per legge, ulteriori campi (la cui compilazione sarà facoltativa) relativi a</w:t>
      </w:r>
      <w:r w:rsidR="00B14FAB" w:rsidRPr="00AB7C17">
        <w:rPr>
          <w:rFonts w:ascii="Cambria" w:eastAsia="Arial" w:hAnsi="Cambria" w:cs="Times New Roman"/>
          <w:color w:val="151513"/>
          <w:sz w:val="24"/>
          <w:szCs w:val="24"/>
        </w:rPr>
        <w:t>i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dati ritenuti utili per il perseguimento delle finalità illustrate in premessa. L’individuazione di questi ulteriori dati sarà effe</w:t>
      </w:r>
      <w:r w:rsidR="00205A9F" w:rsidRPr="00AB7C17">
        <w:rPr>
          <w:rFonts w:ascii="Cambria" w:eastAsia="Arial" w:hAnsi="Cambria" w:cs="Times New Roman"/>
          <w:color w:val="151513"/>
          <w:sz w:val="24"/>
          <w:szCs w:val="24"/>
        </w:rPr>
        <w:t>ttuata di comune accordo dalle Parti;</w:t>
      </w:r>
    </w:p>
    <w:p w14:paraId="02863C83" w14:textId="77777777" w:rsidR="00001B43" w:rsidRPr="00AB7C17" w:rsidRDefault="00001B43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72CC2ABB" w14:textId="7C91E31B" w:rsidR="00001B43" w:rsidRPr="00AB7C17" w:rsidRDefault="009237CE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>l</w:t>
      </w:r>
      <w:r w:rsidR="002C2FD0" w:rsidRPr="00AB7C17">
        <w:rPr>
          <w:rFonts w:ascii="Cambria" w:eastAsia="Arial" w:hAnsi="Cambria" w:cs="Times New Roman"/>
          <w:sz w:val="24"/>
          <w:szCs w:val="24"/>
        </w:rPr>
        <w:t>a C</w:t>
      </w:r>
      <w:r w:rsidR="00001B43" w:rsidRPr="00AB7C17">
        <w:rPr>
          <w:rFonts w:ascii="Cambria" w:eastAsia="Arial" w:hAnsi="Cambria" w:cs="Times New Roman"/>
          <w:sz w:val="24"/>
          <w:szCs w:val="24"/>
        </w:rPr>
        <w:t xml:space="preserve">assa Edile di Roma e Provincia, </w:t>
      </w:r>
      <w:r w:rsidR="00165A53" w:rsidRPr="00AB7C17">
        <w:rPr>
          <w:rFonts w:ascii="Cambria" w:eastAsia="Arial" w:hAnsi="Cambria" w:cs="Times New Roman"/>
          <w:sz w:val="24"/>
          <w:szCs w:val="24"/>
        </w:rPr>
        <w:t xml:space="preserve">per il tramite della Direzione, </w:t>
      </w:r>
      <w:r w:rsidR="00001B43" w:rsidRPr="00AB7C17">
        <w:rPr>
          <w:rFonts w:ascii="Cambria" w:eastAsia="Arial" w:hAnsi="Cambria" w:cs="Times New Roman"/>
          <w:sz w:val="24"/>
          <w:szCs w:val="24"/>
        </w:rPr>
        <w:t xml:space="preserve">attraverso la piattaforma telematica e il canale di comunicazione dedicato, fornirà </w:t>
      </w:r>
      <w:r w:rsidR="008A346F" w:rsidRPr="00AB7C17">
        <w:rPr>
          <w:rFonts w:ascii="Cambria" w:eastAsia="Arial" w:hAnsi="Cambria" w:cs="Times New Roman"/>
          <w:sz w:val="24"/>
          <w:szCs w:val="24"/>
        </w:rPr>
        <w:t xml:space="preserve">all’ITL </w:t>
      </w:r>
      <w:r w:rsidR="00001B43" w:rsidRPr="00AB7C17">
        <w:rPr>
          <w:rFonts w:ascii="Cambria" w:eastAsia="Arial" w:hAnsi="Cambria" w:cs="Times New Roman"/>
          <w:sz w:val="24"/>
          <w:szCs w:val="24"/>
        </w:rPr>
        <w:t>i dati occupazionali aggregati, relativi a imprese e lavoratori denunciati, le denunce dei cantieri e l’elenco delle imprese che risultano aver ch</w:t>
      </w:r>
      <w:r w:rsidR="008A346F" w:rsidRPr="00AB7C17">
        <w:rPr>
          <w:rFonts w:ascii="Cambria" w:eastAsia="Arial" w:hAnsi="Cambria" w:cs="Times New Roman"/>
          <w:sz w:val="24"/>
          <w:szCs w:val="24"/>
        </w:rPr>
        <w:t>iesto ammortizzatori sociali.</w:t>
      </w:r>
    </w:p>
    <w:p w14:paraId="1D902A2B" w14:textId="77777777" w:rsidR="002B6CA1" w:rsidRPr="00AB7C17" w:rsidRDefault="002B6CA1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3EAE831F" w14:textId="5648D15C" w:rsidR="002B6CA1" w:rsidRPr="00AB7C17" w:rsidRDefault="009237CE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’Ispettorato metterà a disposizione del CEFMECTP e della Cassa Edile, in tempo reale </w:t>
      </w:r>
      <w:r w:rsidR="002B6CA1" w:rsidRPr="00953932">
        <w:rPr>
          <w:rFonts w:ascii="Cambria" w:eastAsia="Arial" w:hAnsi="Cambria" w:cs="Times New Roman"/>
          <w:strike/>
          <w:color w:val="151513"/>
          <w:sz w:val="24"/>
          <w:szCs w:val="24"/>
        </w:rPr>
        <w:t>e per via telemati</w:t>
      </w:r>
      <w:bookmarkStart w:id="1" w:name="_GoBack"/>
      <w:bookmarkEnd w:id="1"/>
      <w:r w:rsidR="002B6CA1" w:rsidRPr="00953932">
        <w:rPr>
          <w:rFonts w:ascii="Cambria" w:eastAsia="Arial" w:hAnsi="Cambria" w:cs="Times New Roman"/>
          <w:strike/>
          <w:color w:val="151513"/>
          <w:sz w:val="24"/>
          <w:szCs w:val="24"/>
        </w:rPr>
        <w:t>ca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(con modalità tecniche da concordare</w:t>
      </w:r>
      <w:r w:rsidR="00205A9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tra le P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arti), le notifiche preliminari pervenute tramite </w:t>
      </w:r>
      <w:r w:rsidR="00205A9F" w:rsidRPr="00AB7C17">
        <w:rPr>
          <w:rFonts w:ascii="Cambria" w:eastAsia="Arial" w:hAnsi="Cambria" w:cs="Times New Roman"/>
          <w:color w:val="151513"/>
          <w:sz w:val="24"/>
          <w:szCs w:val="24"/>
        </w:rPr>
        <w:t>il suddetto sistema informatico;</w:t>
      </w:r>
    </w:p>
    <w:p w14:paraId="47E90B63" w14:textId="77777777" w:rsidR="00FB5058" w:rsidRPr="00AB7C17" w:rsidRDefault="00FB5058" w:rsidP="009237CE">
      <w:pPr>
        <w:spacing w:line="276" w:lineRule="auto"/>
        <w:ind w:right="123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266A79C" w14:textId="44F9CD68" w:rsidR="00836468" w:rsidRPr="00AB7C17" w:rsidRDefault="009237CE" w:rsidP="009237CE">
      <w:pPr>
        <w:pStyle w:val="Paragrafoelenco"/>
        <w:numPr>
          <w:ilvl w:val="0"/>
          <w:numId w:val="2"/>
        </w:numPr>
        <w:tabs>
          <w:tab w:val="left" w:pos="2280"/>
          <w:tab w:val="left" w:pos="2780"/>
          <w:tab w:val="left" w:pos="4240"/>
          <w:tab w:val="left" w:pos="4980"/>
          <w:tab w:val="left" w:pos="6080"/>
          <w:tab w:val="left" w:pos="6640"/>
          <w:tab w:val="left" w:pos="7660"/>
        </w:tabs>
        <w:spacing w:line="276" w:lineRule="auto"/>
        <w:ind w:right="104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il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0660E9" w:rsidRPr="00AB7C17">
        <w:rPr>
          <w:rFonts w:ascii="Cambria" w:eastAsia="Arial" w:hAnsi="Cambria" w:cs="Times New Roman"/>
          <w:color w:val="151513"/>
          <w:sz w:val="24"/>
          <w:szCs w:val="24"/>
        </w:rPr>
        <w:t>già menzionato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sistema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dovrà garantire l’integrità e la riservatezza dei dati contenuti nelle notifiche preliminari e l’utilizzo degli stessi dovrà avvenire in conformità a quanto previsto dalla normativa sulla Privacy e limitatamente a</w:t>
      </w:r>
      <w:r w:rsidR="0093309D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 soli dati personali necessari, adeguati e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pertinenti rispetto alle finalità del presente </w:t>
      </w:r>
      <w:r w:rsidR="00205A9F" w:rsidRPr="00AB7C17">
        <w:rPr>
          <w:rFonts w:ascii="Cambria" w:eastAsia="Arial" w:hAnsi="Cambria" w:cs="Times New Roman"/>
          <w:color w:val="151513"/>
          <w:sz w:val="24"/>
          <w:szCs w:val="24"/>
        </w:rPr>
        <w:t>P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rotocollo, in ossequio al</w:t>
      </w:r>
      <w:r w:rsidR="001F1CC3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principio di minimizzazione</w:t>
      </w:r>
      <w:r w:rsidR="00497E8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dei dati;</w:t>
      </w:r>
    </w:p>
    <w:p w14:paraId="4738F2EC" w14:textId="77777777" w:rsidR="00836468" w:rsidRPr="00AB7C17" w:rsidRDefault="00836468" w:rsidP="009237CE">
      <w:pPr>
        <w:spacing w:before="6" w:line="276" w:lineRule="auto"/>
        <w:ind w:left="60"/>
        <w:rPr>
          <w:rFonts w:ascii="Cambria" w:eastAsia="Arial" w:hAnsi="Cambria" w:cs="Times New Roman"/>
          <w:color w:val="151513"/>
          <w:sz w:val="24"/>
          <w:szCs w:val="24"/>
        </w:rPr>
      </w:pPr>
      <w:r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</w:p>
    <w:p w14:paraId="6ECC2D1C" w14:textId="7480C57F" w:rsidR="006245EF" w:rsidRPr="00AB7C17" w:rsidRDefault="009237CE" w:rsidP="009237CE">
      <w:pPr>
        <w:pStyle w:val="Paragrafoelenco"/>
        <w:numPr>
          <w:ilvl w:val="0"/>
          <w:numId w:val="2"/>
        </w:numPr>
        <w:tabs>
          <w:tab w:val="left" w:pos="2360"/>
          <w:tab w:val="left" w:pos="4080"/>
          <w:tab w:val="left" w:pos="5680"/>
        </w:tabs>
        <w:spacing w:line="276" w:lineRule="auto"/>
        <w:ind w:right="213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f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ermo restando quanto sopra e nella logica di implementare le sinergie già esistenti tra le Parti, il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CEFMECTP consentirà al personale ispettivo 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dell’ITL di Roma di partecipare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senza alcun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onere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carico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dell’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Amministrazione, a corsi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di formazione,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aggiornamento, seminari,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convegni, i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ncontri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tematici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altri strumenti formativi in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materia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prevenzione e sicurezza sul lavoro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in 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>edilizia;</w:t>
      </w:r>
    </w:p>
    <w:p w14:paraId="29EB8229" w14:textId="77777777" w:rsidR="006245EF" w:rsidRPr="00AB7C17" w:rsidRDefault="006245EF" w:rsidP="009237CE">
      <w:pPr>
        <w:pStyle w:val="Paragrafoelenco"/>
        <w:tabs>
          <w:tab w:val="left" w:pos="2360"/>
          <w:tab w:val="left" w:pos="4080"/>
          <w:tab w:val="left" w:pos="5680"/>
        </w:tabs>
        <w:spacing w:line="276" w:lineRule="auto"/>
        <w:ind w:left="420" w:right="213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4AED2374" w14:textId="6BA851BF" w:rsidR="00836468" w:rsidRPr="00AB7C17" w:rsidRDefault="009237CE" w:rsidP="009237CE">
      <w:pPr>
        <w:pStyle w:val="Paragrafoelenco"/>
        <w:numPr>
          <w:ilvl w:val="0"/>
          <w:numId w:val="2"/>
        </w:numPr>
        <w:tabs>
          <w:tab w:val="left" w:pos="2360"/>
          <w:tab w:val="left" w:pos="4080"/>
          <w:tab w:val="left" w:pos="5680"/>
        </w:tabs>
        <w:spacing w:line="276" w:lineRule="auto"/>
        <w:ind w:right="213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C06D92" w:rsidRPr="00AB7C17">
        <w:rPr>
          <w:rFonts w:ascii="Cambria" w:eastAsia="Arial" w:hAnsi="Cambria" w:cs="Times New Roman"/>
          <w:color w:val="151513"/>
          <w:sz w:val="24"/>
          <w:szCs w:val="24"/>
        </w:rPr>
        <w:t>’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ITL 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si impegna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 far 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partecipare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il proprio personale ispettivo, ai sensi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dell’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art</w:t>
      </w:r>
      <w:r>
        <w:rPr>
          <w:rFonts w:ascii="Cambria" w:eastAsia="Arial" w:hAnsi="Cambria" w:cs="Times New Roman"/>
          <w:color w:val="151513"/>
          <w:sz w:val="24"/>
          <w:szCs w:val="24"/>
        </w:rPr>
        <w:t>icolo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8 </w:t>
      </w:r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del </w:t>
      </w:r>
      <w:proofErr w:type="spellStart"/>
      <w:r w:rsidR="00CD1A89" w:rsidRPr="00AB7C17">
        <w:rPr>
          <w:rFonts w:ascii="Cambria" w:eastAsia="Arial" w:hAnsi="Cambria" w:cs="Times New Roman"/>
          <w:color w:val="151513"/>
          <w:sz w:val="24"/>
          <w:szCs w:val="24"/>
        </w:rPr>
        <w:t>D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.</w:t>
      </w: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gs.</w:t>
      </w:r>
      <w:proofErr w:type="spellEnd"/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124/2004, </w:t>
      </w:r>
      <w:r w:rsidR="00E924F0" w:rsidRPr="00AB7C17">
        <w:rPr>
          <w:rFonts w:ascii="Cambria" w:eastAsia="Arial" w:hAnsi="Cambria" w:cs="Times New Roman"/>
          <w:color w:val="151513"/>
          <w:sz w:val="24"/>
          <w:szCs w:val="24"/>
        </w:rPr>
        <w:t>in qualità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di </w:t>
      </w:r>
      <w:r w:rsidR="00E924F0" w:rsidRPr="00AB7C17">
        <w:rPr>
          <w:rFonts w:ascii="Cambria" w:eastAsia="Arial" w:hAnsi="Cambria" w:cs="Times New Roman"/>
          <w:color w:val="151513"/>
          <w:sz w:val="24"/>
          <w:szCs w:val="24"/>
        </w:rPr>
        <w:t>relatore</w:t>
      </w:r>
      <w:r w:rsidR="00756556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ad eventi di </w:t>
      </w:r>
      <w:r w:rsidR="00E924F0" w:rsidRPr="00AB7C17">
        <w:rPr>
          <w:rFonts w:ascii="Cambria" w:eastAsia="Arial" w:hAnsi="Cambria" w:cs="Times New Roman"/>
          <w:color w:val="151513"/>
          <w:sz w:val="24"/>
          <w:szCs w:val="24"/>
        </w:rPr>
        <w:t>prevenzione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e </w:t>
      </w:r>
      <w:r w:rsidR="00E924F0" w:rsidRPr="00AB7C17">
        <w:rPr>
          <w:rFonts w:ascii="Cambria" w:eastAsia="Arial" w:hAnsi="Cambria" w:cs="Times New Roman"/>
          <w:color w:val="151513"/>
          <w:sz w:val="24"/>
          <w:szCs w:val="24"/>
        </w:rPr>
        <w:t>promozione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sulle </w:t>
      </w:r>
      <w:r w:rsidR="00E924F0" w:rsidRPr="00AB7C17">
        <w:rPr>
          <w:rFonts w:ascii="Cambria" w:eastAsia="Arial" w:hAnsi="Cambria" w:cs="Times New Roman"/>
          <w:color w:val="151513"/>
          <w:sz w:val="24"/>
          <w:szCs w:val="24"/>
        </w:rPr>
        <w:t>medesime tematiche</w:t>
      </w:r>
      <w:r w:rsidR="00497E8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promosse</w:t>
      </w:r>
      <w:r w:rsidR="00E924F0" w:rsidRPr="00AB7C17">
        <w:rPr>
          <w:rFonts w:ascii="Cambria" w:eastAsia="Arial" w:hAnsi="Cambria" w:cs="Times New Roman"/>
          <w:color w:val="151513"/>
          <w:sz w:val="24"/>
          <w:szCs w:val="24"/>
        </w:rPr>
        <w:t>;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3004"/>
        <w:gridCol w:w="2948"/>
      </w:tblGrid>
      <w:tr w:rsidR="008E19EE" w14:paraId="57A66171" w14:textId="77777777" w:rsidTr="008E19EE">
        <w:tc>
          <w:tcPr>
            <w:tcW w:w="2966" w:type="dxa"/>
            <w:vAlign w:val="center"/>
          </w:tcPr>
          <w:p w14:paraId="2F4C755F" w14:textId="77777777" w:rsidR="008E19EE" w:rsidRDefault="008E19EE" w:rsidP="00BF583B">
            <w:pPr>
              <w:pStyle w:val="Paragrafoelenco"/>
              <w:ind w:left="0"/>
              <w:jc w:val="lef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>
              <w:rPr>
                <w:rFonts w:ascii="Cambria" w:eastAsia="Arial" w:hAnsi="Cambria" w:cs="Times New Roman"/>
                <w:noProof/>
                <w:color w:val="151513"/>
                <w:sz w:val="24"/>
                <w:szCs w:val="24"/>
              </w:rPr>
              <w:lastRenderedPageBreak/>
              <w:drawing>
                <wp:inline distT="0" distB="0" distL="0" distR="0" wp14:anchorId="24F51960" wp14:editId="69DB2BDF">
                  <wp:extent cx="944880" cy="655320"/>
                  <wp:effectExtent l="0" t="0" r="762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14:paraId="233F7735" w14:textId="77777777" w:rsidR="008E19EE" w:rsidRDefault="008E19EE" w:rsidP="00BF583B">
            <w:pPr>
              <w:pStyle w:val="Paragrafoelenco"/>
              <w:ind w:left="0"/>
              <w:jc w:val="center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5C32BF">
              <w:rPr>
                <w:noProof/>
              </w:rPr>
              <w:drawing>
                <wp:inline distT="0" distB="0" distL="0" distR="0" wp14:anchorId="182F0C77" wp14:editId="5FFDEDC5">
                  <wp:extent cx="1097280" cy="731520"/>
                  <wp:effectExtent l="0" t="0" r="762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54CD00D9" w14:textId="77777777" w:rsidR="008E19EE" w:rsidRDefault="008E19EE" w:rsidP="00BF583B">
            <w:pPr>
              <w:pStyle w:val="Paragrafoelenco"/>
              <w:ind w:left="0"/>
              <w:jc w:val="right"/>
              <w:rPr>
                <w:rFonts w:ascii="Cambria" w:eastAsia="Arial" w:hAnsi="Cambria" w:cs="Times New Roman"/>
                <w:color w:val="151513"/>
                <w:sz w:val="24"/>
                <w:szCs w:val="24"/>
              </w:rPr>
            </w:pPr>
            <w:r w:rsidRPr="005C32BF">
              <w:rPr>
                <w:noProof/>
              </w:rPr>
              <w:drawing>
                <wp:inline distT="0" distB="0" distL="0" distR="0" wp14:anchorId="2B9795C7" wp14:editId="7159CCC1">
                  <wp:extent cx="883920" cy="434340"/>
                  <wp:effectExtent l="0" t="0" r="0" b="381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54" cy="44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07237" w14:textId="741A4D4B" w:rsidR="008E19EE" w:rsidRDefault="008E19EE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4BA598DD" w14:textId="2A55E743" w:rsidR="00F70E19" w:rsidRDefault="00F70E19" w:rsidP="00F70E19">
      <w:pPr>
        <w:pStyle w:val="Paragrafoelenco"/>
        <w:numPr>
          <w:ilvl w:val="0"/>
          <w:numId w:val="2"/>
        </w:numPr>
        <w:tabs>
          <w:tab w:val="left" w:pos="2360"/>
          <w:tab w:val="left" w:pos="4080"/>
          <w:tab w:val="left" w:pos="5680"/>
        </w:tabs>
        <w:spacing w:line="276" w:lineRule="auto"/>
        <w:ind w:right="213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Pr="00AB7C17">
        <w:rPr>
          <w:rFonts w:ascii="Cambria" w:eastAsia="Arial" w:hAnsi="Cambria" w:cs="Times New Roman"/>
          <w:color w:val="151513"/>
          <w:sz w:val="24"/>
          <w:szCs w:val="24"/>
        </w:rPr>
        <w:t>e Parti si impegnano a promuovere iniziative formative a favore di tecnici/funzionari della Cassa Edile e del CEFMECTP, impegnati nelle attività di cui al presente Protocollo;</w:t>
      </w:r>
    </w:p>
    <w:p w14:paraId="3C95C7D6" w14:textId="77777777" w:rsidR="004C58EC" w:rsidRPr="004C58EC" w:rsidRDefault="004C58EC" w:rsidP="004C58EC">
      <w:pPr>
        <w:tabs>
          <w:tab w:val="left" w:pos="2360"/>
          <w:tab w:val="left" w:pos="4080"/>
          <w:tab w:val="left" w:pos="5680"/>
        </w:tabs>
        <w:spacing w:line="276" w:lineRule="auto"/>
        <w:ind w:left="60" w:right="213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78E45762" w14:textId="1E3230E9" w:rsidR="00836468" w:rsidRPr="00AB7C17" w:rsidRDefault="009237CE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l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 Parti si impegnano a promuovere campagne comuni di informazione 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finalizzate 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diffondere buone prassi ai fini prevenzionistici, 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>nonché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a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realizzare azioni di studio, 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ricerca e 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di 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sostegno sui temi della salute e sicure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>z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za nei luoghi di lavoro;</w:t>
      </w:r>
    </w:p>
    <w:p w14:paraId="6AF9519F" w14:textId="77777777" w:rsidR="00836468" w:rsidRPr="00AB7C17" w:rsidRDefault="00836468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79BD26E3" w14:textId="59B52C32" w:rsidR="00836468" w:rsidRPr="00AB7C17" w:rsidRDefault="009237CE" w:rsidP="009237CE">
      <w:pPr>
        <w:pStyle w:val="Paragrafoelenco"/>
        <w:numPr>
          <w:ilvl w:val="0"/>
          <w:numId w:val="2"/>
        </w:numPr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g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>li adempimenti operativi necessari alla realizzazione di quanto concordato con il presente Protocollo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ivi compresa 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>l’attuazione del Sistema Informatico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per la trasmissione tel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>ematica delle notifiche prelimi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n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>a</w:t>
      </w:r>
      <w:r w:rsidR="006245EF" w:rsidRPr="00AB7C17">
        <w:rPr>
          <w:rFonts w:ascii="Cambria" w:eastAsia="Arial" w:hAnsi="Cambria" w:cs="Times New Roman"/>
          <w:color w:val="151513"/>
          <w:sz w:val="24"/>
          <w:szCs w:val="24"/>
        </w:rPr>
        <w:t>ri</w:t>
      </w:r>
      <w:r w:rsidR="002B6CA1" w:rsidRPr="00AB7C17">
        <w:rPr>
          <w:rFonts w:ascii="Cambria" w:eastAsia="Arial" w:hAnsi="Cambria" w:cs="Times New Roman"/>
          <w:color w:val="151513"/>
          <w:sz w:val="24"/>
          <w:szCs w:val="24"/>
        </w:rPr>
        <w:t>,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saranno avviati dalle Parti, sia congiuntamente che individualmente per quanto di rispettiva competenza, entro </w:t>
      </w:r>
      <w:r w:rsidR="00D12C8C">
        <w:rPr>
          <w:rFonts w:ascii="Cambria" w:eastAsia="Arial" w:hAnsi="Cambria" w:cs="Times New Roman"/>
          <w:color w:val="151513"/>
          <w:sz w:val="24"/>
          <w:szCs w:val="24"/>
        </w:rPr>
        <w:t>30</w:t>
      </w:r>
      <w:r w:rsidR="0083646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 giorni da</w:t>
      </w:r>
      <w:r w:rsidR="00311E92" w:rsidRPr="00AB7C17">
        <w:rPr>
          <w:rFonts w:ascii="Cambria" w:eastAsia="Arial" w:hAnsi="Cambria" w:cs="Times New Roman"/>
          <w:color w:val="151513"/>
          <w:sz w:val="24"/>
          <w:szCs w:val="24"/>
        </w:rPr>
        <w:t>lla sottoscrizione dello stesso;</w:t>
      </w:r>
    </w:p>
    <w:p w14:paraId="6889C27B" w14:textId="77777777" w:rsidR="00FB5058" w:rsidRPr="00AB7C17" w:rsidRDefault="00FB5058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434C38C9" w14:textId="7005A2FD" w:rsidR="0030105B" w:rsidRPr="00AB7C17" w:rsidRDefault="009237CE" w:rsidP="009237CE">
      <w:pPr>
        <w:pStyle w:val="Paragrafoelenco"/>
        <w:numPr>
          <w:ilvl w:val="0"/>
          <w:numId w:val="2"/>
        </w:numPr>
        <w:tabs>
          <w:tab w:val="left" w:pos="10206"/>
        </w:tabs>
        <w:spacing w:before="26" w:line="276" w:lineRule="auto"/>
        <w:ind w:left="426" w:right="-1"/>
        <w:rPr>
          <w:rFonts w:ascii="Cambria" w:eastAsia="Arial" w:hAnsi="Cambria" w:cs="Times New Roman"/>
          <w:color w:val="151513"/>
          <w:sz w:val="24"/>
          <w:szCs w:val="24"/>
        </w:rPr>
      </w:pPr>
      <w:r>
        <w:rPr>
          <w:rFonts w:ascii="Cambria" w:eastAsia="Arial" w:hAnsi="Cambria" w:cs="Times New Roman"/>
          <w:color w:val="151513"/>
          <w:sz w:val="24"/>
          <w:szCs w:val="24"/>
        </w:rPr>
        <w:t>p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er l’attuazione del </w:t>
      </w:r>
      <w:r w:rsidR="000F76AC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presente </w:t>
      </w:r>
      <w:r w:rsidR="00FB5058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Protocollo, le Parti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si impegnano a</w:t>
      </w:r>
      <w:r w:rsidR="0030105B" w:rsidRPr="00AB7C17">
        <w:rPr>
          <w:rFonts w:ascii="Cambria" w:eastAsia="Times New Roman" w:hAnsi="Cambria" w:cs="Times New Roman"/>
          <w:spacing w:val="9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costituire</w:t>
      </w:r>
      <w:r w:rsidR="0030105B" w:rsidRPr="00AB7C17">
        <w:rPr>
          <w:rFonts w:ascii="Cambria" w:eastAsia="Times New Roman" w:hAnsi="Cambria" w:cs="Times New Roman"/>
          <w:spacing w:val="57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un</w:t>
      </w:r>
      <w:r w:rsidR="0030105B" w:rsidRPr="00AB7C17">
        <w:rPr>
          <w:rFonts w:ascii="Cambria" w:eastAsia="Times New Roman" w:hAnsi="Cambria" w:cs="Times New Roman"/>
          <w:spacing w:val="25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pacing w:val="25"/>
          <w:sz w:val="24"/>
          <w:szCs w:val="24"/>
        </w:rPr>
        <w:t>C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omitato</w:t>
      </w:r>
      <w:r w:rsidR="0030105B" w:rsidRPr="00AB7C17">
        <w:rPr>
          <w:rFonts w:ascii="Cambria" w:eastAsia="Times New Roman" w:hAnsi="Cambria" w:cs="Times New Roman"/>
          <w:spacing w:val="47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pacing w:val="47"/>
          <w:sz w:val="24"/>
          <w:szCs w:val="24"/>
        </w:rPr>
        <w:t>T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ecnico</w:t>
      </w:r>
      <w:r w:rsidR="0030105B" w:rsidRPr="00AB7C17">
        <w:rPr>
          <w:rFonts w:ascii="Cambria" w:eastAsia="Times New Roman" w:hAnsi="Cambria" w:cs="Times New Roman"/>
          <w:spacing w:val="46"/>
          <w:sz w:val="24"/>
          <w:szCs w:val="24"/>
        </w:rPr>
        <w:t xml:space="preserve"> </w:t>
      </w:r>
      <w:r w:rsidR="00365772">
        <w:rPr>
          <w:rFonts w:ascii="Cambria" w:eastAsia="Times New Roman" w:hAnsi="Cambria" w:cs="Times New Roman"/>
          <w:spacing w:val="46"/>
          <w:sz w:val="24"/>
          <w:szCs w:val="24"/>
        </w:rPr>
        <w:t>S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cientifico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composto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 xml:space="preserve"> complessivamente</w:t>
      </w:r>
      <w:r w:rsidR="00017B3B" w:rsidRPr="00AB7C17">
        <w:rPr>
          <w:rFonts w:ascii="Cambria" w:eastAsia="Times New Roman" w:hAnsi="Cambria" w:cs="Times New Roman"/>
          <w:spacing w:val="55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di</w:t>
      </w:r>
      <w:r w:rsidR="00017B3B" w:rsidRPr="00AB7C17">
        <w:rPr>
          <w:rFonts w:ascii="Cambria" w:eastAsia="Times New Roman" w:hAnsi="Cambria" w:cs="Times New Roman"/>
          <w:spacing w:val="18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sei</w:t>
      </w:r>
      <w:r w:rsidR="00017B3B" w:rsidRPr="00AB7C17">
        <w:rPr>
          <w:rFonts w:ascii="Cambria" w:eastAsia="Times New Roman" w:hAnsi="Cambria" w:cs="Times New Roman"/>
          <w:spacing w:val="15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el</w:t>
      </w:r>
      <w:r w:rsidR="00017B3B" w:rsidRPr="00AB7C17">
        <w:rPr>
          <w:rFonts w:ascii="Cambria" w:eastAsia="Times New Roman" w:hAnsi="Cambria" w:cs="Times New Roman"/>
          <w:spacing w:val="-2"/>
          <w:sz w:val="24"/>
          <w:szCs w:val="24"/>
        </w:rPr>
        <w:t>e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menti</w:t>
      </w:r>
      <w:r w:rsidR="00017B3B" w:rsidRPr="00AB7C17">
        <w:rPr>
          <w:rFonts w:ascii="Cambria" w:eastAsia="Times New Roman" w:hAnsi="Cambria" w:cs="Times New Roman"/>
          <w:spacing w:val="54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indicati</w:t>
      </w:r>
      <w:r w:rsidR="00017B3B" w:rsidRPr="00AB7C17">
        <w:rPr>
          <w:rFonts w:ascii="Cambria" w:eastAsia="Times New Roman" w:hAnsi="Cambria" w:cs="Times New Roman"/>
          <w:spacing w:val="45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in</w:t>
      </w:r>
      <w:r w:rsidR="00017B3B" w:rsidRPr="00AB7C17">
        <w:rPr>
          <w:rFonts w:ascii="Cambria" w:eastAsia="Times New Roman" w:hAnsi="Cambria" w:cs="Times New Roman"/>
          <w:spacing w:val="17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modo</w:t>
      </w:r>
      <w:r w:rsidR="00017B3B" w:rsidRPr="00AB7C17">
        <w:rPr>
          <w:rFonts w:ascii="Cambria" w:eastAsia="Times New Roman" w:hAnsi="Cambria" w:cs="Times New Roman"/>
          <w:spacing w:val="27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paritario</w:t>
      </w:r>
      <w:r w:rsidR="00017B3B" w:rsidRPr="00AB7C17">
        <w:rPr>
          <w:rFonts w:ascii="Cambria" w:eastAsia="Times New Roman" w:hAnsi="Cambria" w:cs="Times New Roman"/>
          <w:spacing w:val="40"/>
          <w:sz w:val="24"/>
          <w:szCs w:val="24"/>
        </w:rPr>
        <w:t xml:space="preserve">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>dalle Parti</w:t>
      </w:r>
      <w:r w:rsidR="00017B3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, del quale faranno parte </w:t>
      </w:r>
      <w:r w:rsidR="00017B3B" w:rsidRPr="00AB7C17">
        <w:rPr>
          <w:rFonts w:ascii="Cambria" w:eastAsia="Times New Roman" w:hAnsi="Cambria" w:cs="Times New Roman"/>
          <w:sz w:val="24"/>
          <w:szCs w:val="24"/>
        </w:rPr>
        <w:t xml:space="preserve">i Direttori, o loro delegati, </w:t>
      </w:r>
      <w:r w:rsidR="00017B3B" w:rsidRPr="00AB7C17">
        <w:rPr>
          <w:rFonts w:ascii="Cambria" w:eastAsia="Arial" w:hAnsi="Cambria" w:cs="Times New Roman"/>
          <w:color w:val="151513"/>
          <w:sz w:val="24"/>
          <w:szCs w:val="24"/>
        </w:rPr>
        <w:t xml:space="preserve">che si riunirà con cadenza </w:t>
      </w:r>
      <w:r w:rsidR="00D12C8C">
        <w:rPr>
          <w:rFonts w:ascii="Cambria" w:eastAsia="Arial" w:hAnsi="Cambria" w:cs="Times New Roman"/>
          <w:color w:val="151513"/>
          <w:sz w:val="24"/>
          <w:szCs w:val="24"/>
        </w:rPr>
        <w:t>bisettimanale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; il</w:t>
      </w:r>
      <w:r w:rsidR="0030105B" w:rsidRPr="00AB7C17">
        <w:rPr>
          <w:rFonts w:ascii="Cambria" w:eastAsia="Times New Roman" w:hAnsi="Cambria" w:cs="Times New Roman"/>
          <w:spacing w:val="10"/>
          <w:sz w:val="24"/>
          <w:szCs w:val="24"/>
        </w:rPr>
        <w:t xml:space="preserve"> </w:t>
      </w:r>
      <w:r w:rsidR="00365772">
        <w:rPr>
          <w:rFonts w:ascii="Cambria" w:eastAsia="Times New Roman" w:hAnsi="Cambria" w:cs="Times New Roman"/>
          <w:spacing w:val="10"/>
          <w:sz w:val="24"/>
          <w:szCs w:val="24"/>
        </w:rPr>
        <w:t>C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oordinatore sarà</w:t>
      </w:r>
      <w:r w:rsidR="0030105B" w:rsidRPr="00AB7C17">
        <w:rPr>
          <w:rFonts w:ascii="Cambria" w:eastAsia="Times New Roman" w:hAnsi="Cambria" w:cs="Times New Roman"/>
          <w:spacing w:val="25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nominato</w:t>
      </w:r>
      <w:r w:rsidR="0030105B" w:rsidRPr="00AB7C17">
        <w:rPr>
          <w:rFonts w:ascii="Cambria" w:eastAsia="Times New Roman" w:hAnsi="Cambria" w:cs="Times New Roman"/>
          <w:spacing w:val="42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nell</w:t>
      </w:r>
      <w:r w:rsidR="0030105B" w:rsidRPr="00AB7C17">
        <w:rPr>
          <w:rFonts w:ascii="Cambria" w:eastAsia="Times New Roman" w:hAnsi="Cambria" w:cs="Times New Roman"/>
          <w:spacing w:val="2"/>
          <w:sz w:val="24"/>
          <w:szCs w:val="24"/>
        </w:rPr>
        <w:t>'</w:t>
      </w:r>
      <w:r w:rsidR="0030105B" w:rsidRPr="00AB7C17">
        <w:rPr>
          <w:rFonts w:ascii="Cambria" w:eastAsia="Times New Roman" w:hAnsi="Cambria" w:cs="Times New Roman"/>
          <w:spacing w:val="-3"/>
          <w:sz w:val="24"/>
          <w:szCs w:val="24"/>
        </w:rPr>
        <w:t>a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mbito</w:t>
      </w:r>
      <w:r w:rsidR="0030105B" w:rsidRPr="00AB7C17">
        <w:rPr>
          <w:rFonts w:ascii="Cambria" w:eastAsia="Times New Roman" w:hAnsi="Cambria" w:cs="Times New Roman"/>
          <w:spacing w:val="47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dei</w:t>
      </w:r>
      <w:r w:rsidR="0030105B" w:rsidRPr="00AB7C17">
        <w:rPr>
          <w:rFonts w:ascii="Cambria" w:eastAsia="Times New Roman" w:hAnsi="Cambria" w:cs="Times New Roman"/>
          <w:spacing w:val="27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tre</w:t>
      </w:r>
      <w:r w:rsidR="0030105B" w:rsidRPr="00AB7C17">
        <w:rPr>
          <w:rFonts w:ascii="Cambria" w:eastAsia="Times New Roman" w:hAnsi="Cambria" w:cs="Times New Roman"/>
          <w:spacing w:val="19"/>
          <w:sz w:val="24"/>
          <w:szCs w:val="24"/>
        </w:rPr>
        <w:t xml:space="preserve"> </w:t>
      </w:r>
      <w:r w:rsidR="00CF2BC4" w:rsidRPr="00AB7C17">
        <w:rPr>
          <w:rFonts w:ascii="Cambria" w:eastAsia="Times New Roman" w:hAnsi="Cambria" w:cs="Times New Roman"/>
          <w:spacing w:val="19"/>
          <w:sz w:val="24"/>
          <w:szCs w:val="24"/>
        </w:rPr>
        <w:t xml:space="preserve">elementi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designati</w:t>
      </w:r>
      <w:r w:rsidR="0030105B" w:rsidRPr="00AB7C17">
        <w:rPr>
          <w:rFonts w:ascii="Cambria" w:eastAsia="Times New Roman" w:hAnsi="Cambria" w:cs="Times New Roman"/>
          <w:spacing w:val="41"/>
          <w:sz w:val="24"/>
          <w:szCs w:val="24"/>
        </w:rPr>
        <w:t xml:space="preserve"> </w:t>
      </w:r>
      <w:r w:rsidR="0030105B" w:rsidRPr="00AB7C17">
        <w:rPr>
          <w:rFonts w:ascii="Cambria" w:eastAsia="Times New Roman" w:hAnsi="Cambria" w:cs="Times New Roman"/>
          <w:sz w:val="24"/>
          <w:szCs w:val="24"/>
        </w:rPr>
        <w:t>dal</w:t>
      </w:r>
      <w:r w:rsidR="00CF2BC4" w:rsidRPr="00AB7C17">
        <w:rPr>
          <w:rFonts w:ascii="Cambria" w:eastAsia="Times New Roman" w:hAnsi="Cambria" w:cs="Times New Roman"/>
          <w:sz w:val="24"/>
          <w:szCs w:val="24"/>
        </w:rPr>
        <w:t>l’ITL</w:t>
      </w:r>
      <w:r w:rsidR="00017B3B" w:rsidRPr="00AB7C17">
        <w:rPr>
          <w:rFonts w:ascii="Cambria" w:eastAsia="Times New Roman" w:hAnsi="Cambria" w:cs="Times New Roman"/>
          <w:w w:val="106"/>
          <w:sz w:val="24"/>
          <w:szCs w:val="24"/>
        </w:rPr>
        <w:t>.</w:t>
      </w:r>
    </w:p>
    <w:p w14:paraId="23C1BBA0" w14:textId="77777777" w:rsidR="00836468" w:rsidRPr="00AB7C17" w:rsidRDefault="00836468" w:rsidP="009237CE">
      <w:pPr>
        <w:spacing w:line="276" w:lineRule="auto"/>
        <w:ind w:right="-1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5A47AF08" w14:textId="77777777" w:rsidR="00836468" w:rsidRPr="00AB7C17" w:rsidRDefault="00836468" w:rsidP="009237CE">
      <w:pPr>
        <w:pStyle w:val="Paragrafoelenco"/>
        <w:spacing w:line="276" w:lineRule="auto"/>
        <w:rPr>
          <w:rFonts w:ascii="Cambria" w:eastAsia="Arial" w:hAnsi="Cambria" w:cs="Times New Roman"/>
          <w:color w:val="151513"/>
          <w:sz w:val="24"/>
          <w:szCs w:val="24"/>
        </w:rPr>
      </w:pPr>
    </w:p>
    <w:p w14:paraId="0B12B1CE" w14:textId="7CDE4D91" w:rsidR="00836468" w:rsidRPr="00AB7C17" w:rsidRDefault="00836468" w:rsidP="00836468">
      <w:pPr>
        <w:rPr>
          <w:rFonts w:ascii="Cambria" w:hAnsi="Cambria" w:cs="Times New Roman"/>
          <w:sz w:val="24"/>
          <w:szCs w:val="24"/>
        </w:rPr>
      </w:pPr>
      <w:r w:rsidRPr="00AB7C17">
        <w:rPr>
          <w:rFonts w:ascii="Cambria" w:eastAsia="Arial" w:hAnsi="Cambria" w:cs="Times New Roman"/>
          <w:color w:val="151513"/>
          <w:sz w:val="24"/>
          <w:szCs w:val="24"/>
        </w:rPr>
        <w:t>Letto, confermato e sottoscritto.</w:t>
      </w:r>
    </w:p>
    <w:p w14:paraId="77529FF2" w14:textId="33798C73" w:rsidR="00946EF7" w:rsidRDefault="00946EF7" w:rsidP="00836468">
      <w:pPr>
        <w:rPr>
          <w:rFonts w:ascii="Cambria" w:hAnsi="Cambria" w:cs="Times New Roman"/>
          <w:sz w:val="24"/>
          <w:szCs w:val="24"/>
        </w:rPr>
      </w:pPr>
    </w:p>
    <w:p w14:paraId="1948BE91" w14:textId="4E3AA974" w:rsidR="00946EF7" w:rsidRDefault="00946EF7" w:rsidP="00836468">
      <w:pPr>
        <w:rPr>
          <w:rFonts w:ascii="Cambria" w:hAnsi="Cambria" w:cs="Times New Roman"/>
          <w:sz w:val="24"/>
          <w:szCs w:val="24"/>
        </w:rPr>
      </w:pPr>
    </w:p>
    <w:p w14:paraId="3B83A194" w14:textId="77777777" w:rsidR="004D4212" w:rsidRPr="00AB7C17" w:rsidRDefault="004D4212" w:rsidP="00836468">
      <w:pPr>
        <w:rPr>
          <w:rFonts w:ascii="Cambria" w:hAnsi="Cambria" w:cs="Times New Roman"/>
          <w:sz w:val="24"/>
          <w:szCs w:val="24"/>
        </w:rPr>
      </w:pPr>
    </w:p>
    <w:p w14:paraId="7D6CF4E5" w14:textId="7E2E91B2" w:rsidR="00365772" w:rsidRDefault="00836468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>Ispettorato Territoriale</w:t>
      </w:r>
    </w:p>
    <w:p w14:paraId="74D479F6" w14:textId="3EB24557" w:rsidR="00365772" w:rsidRDefault="00836468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>del Lavoro di Roma</w:t>
      </w:r>
    </w:p>
    <w:p w14:paraId="022EAC7E" w14:textId="0F31F992" w:rsidR="00836468" w:rsidRPr="00AB7C17" w:rsidRDefault="00365772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Direttore Carmina Mancino</w:t>
      </w:r>
    </w:p>
    <w:p w14:paraId="539C1332" w14:textId="77777777" w:rsidR="00836468" w:rsidRPr="00AB7C17" w:rsidRDefault="00836468" w:rsidP="00836468">
      <w:pPr>
        <w:rPr>
          <w:rFonts w:ascii="Cambria" w:hAnsi="Cambria" w:cs="Times New Roman"/>
          <w:b/>
          <w:sz w:val="24"/>
          <w:szCs w:val="24"/>
        </w:rPr>
      </w:pPr>
    </w:p>
    <w:p w14:paraId="25995290" w14:textId="595C139B" w:rsidR="00311E92" w:rsidRDefault="00E36774" w:rsidP="00836468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FB76471" w14:textId="6B0EFD20" w:rsidR="005837DA" w:rsidRDefault="00E36774" w:rsidP="00836468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__________________________________</w:t>
      </w:r>
    </w:p>
    <w:p w14:paraId="793A5779" w14:textId="77777777" w:rsidR="004D4212" w:rsidRPr="00AB7C17" w:rsidRDefault="004D4212" w:rsidP="00836468">
      <w:pPr>
        <w:rPr>
          <w:rFonts w:ascii="Cambria" w:hAnsi="Cambria" w:cs="Times New Roman"/>
          <w:b/>
          <w:sz w:val="24"/>
          <w:szCs w:val="24"/>
        </w:rPr>
      </w:pPr>
    </w:p>
    <w:p w14:paraId="0601304A" w14:textId="77777777" w:rsidR="004A352A" w:rsidRPr="00AB7C17" w:rsidRDefault="004A352A" w:rsidP="00836468">
      <w:pPr>
        <w:rPr>
          <w:rFonts w:ascii="Cambria" w:hAnsi="Cambria" w:cs="Times New Roman"/>
          <w:b/>
          <w:sz w:val="24"/>
          <w:szCs w:val="24"/>
        </w:rPr>
      </w:pPr>
    </w:p>
    <w:p w14:paraId="76A62F6A" w14:textId="581AF378" w:rsidR="00836468" w:rsidRDefault="00836468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 xml:space="preserve">Cassa Edile di Roma e </w:t>
      </w:r>
      <w:r w:rsidR="00653EE6" w:rsidRPr="00AB7C17">
        <w:rPr>
          <w:rFonts w:ascii="Cambria" w:hAnsi="Cambria" w:cs="Times New Roman"/>
          <w:b/>
          <w:sz w:val="24"/>
          <w:szCs w:val="24"/>
        </w:rPr>
        <w:t>Provincia</w:t>
      </w:r>
    </w:p>
    <w:p w14:paraId="1CFB2CC5" w14:textId="70A7057C" w:rsidR="00365772" w:rsidRPr="00AB7C17" w:rsidRDefault="00365772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Presidente Giovanbattista Daoud </w:t>
      </w:r>
      <w:proofErr w:type="spellStart"/>
      <w:r>
        <w:rPr>
          <w:rFonts w:ascii="Cambria" w:hAnsi="Cambria" w:cs="Times New Roman"/>
          <w:b/>
          <w:sz w:val="24"/>
          <w:szCs w:val="24"/>
        </w:rPr>
        <w:t>Waly</w:t>
      </w:r>
      <w:proofErr w:type="spellEnd"/>
    </w:p>
    <w:p w14:paraId="012F32AD" w14:textId="77777777" w:rsidR="00946EF7" w:rsidRPr="00AB7C17" w:rsidRDefault="00946EF7" w:rsidP="00836468">
      <w:pPr>
        <w:rPr>
          <w:rFonts w:ascii="Cambria" w:hAnsi="Cambria" w:cs="Times New Roman"/>
          <w:b/>
          <w:sz w:val="24"/>
          <w:szCs w:val="24"/>
        </w:rPr>
      </w:pPr>
    </w:p>
    <w:p w14:paraId="6075FFF9" w14:textId="77777777" w:rsidR="004A352A" w:rsidRPr="00AB7C17" w:rsidRDefault="004A352A" w:rsidP="00455D47">
      <w:pPr>
        <w:rPr>
          <w:rFonts w:ascii="Cambria" w:hAnsi="Cambria" w:cs="Times New Roman"/>
          <w:b/>
          <w:sz w:val="24"/>
          <w:szCs w:val="24"/>
        </w:rPr>
      </w:pPr>
    </w:p>
    <w:p w14:paraId="29E9E713" w14:textId="6EA8EB7C" w:rsidR="00C06D92" w:rsidRDefault="00E36774" w:rsidP="00455D4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________________________________________________</w:t>
      </w:r>
    </w:p>
    <w:p w14:paraId="2B39C948" w14:textId="77777777" w:rsidR="005837DA" w:rsidRDefault="005837DA" w:rsidP="00455D47">
      <w:pPr>
        <w:rPr>
          <w:rFonts w:ascii="Cambria" w:hAnsi="Cambria" w:cs="Times New Roman"/>
          <w:b/>
          <w:sz w:val="24"/>
          <w:szCs w:val="24"/>
        </w:rPr>
      </w:pPr>
    </w:p>
    <w:p w14:paraId="327F9013" w14:textId="77777777" w:rsidR="004D4212" w:rsidRPr="00AB7C17" w:rsidRDefault="004D4212" w:rsidP="00455D47">
      <w:pPr>
        <w:rPr>
          <w:rFonts w:ascii="Cambria" w:hAnsi="Cambria" w:cs="Times New Roman"/>
          <w:b/>
          <w:sz w:val="24"/>
          <w:szCs w:val="24"/>
        </w:rPr>
      </w:pPr>
    </w:p>
    <w:p w14:paraId="0D5281CC" w14:textId="6438EBC7" w:rsidR="00C545B0" w:rsidRDefault="00836468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 w:rsidRPr="00AB7C17">
        <w:rPr>
          <w:rFonts w:ascii="Cambria" w:hAnsi="Cambria" w:cs="Times New Roman"/>
          <w:b/>
          <w:sz w:val="24"/>
          <w:szCs w:val="24"/>
        </w:rPr>
        <w:t xml:space="preserve">CEFMECTP di Roma e </w:t>
      </w:r>
      <w:r w:rsidR="00365772">
        <w:rPr>
          <w:rFonts w:ascii="Cambria" w:hAnsi="Cambria" w:cs="Times New Roman"/>
          <w:b/>
          <w:sz w:val="24"/>
          <w:szCs w:val="24"/>
        </w:rPr>
        <w:t>p</w:t>
      </w:r>
      <w:r w:rsidR="00653EE6" w:rsidRPr="00AB7C17">
        <w:rPr>
          <w:rFonts w:ascii="Cambria" w:hAnsi="Cambria" w:cs="Times New Roman"/>
          <w:b/>
          <w:sz w:val="24"/>
          <w:szCs w:val="24"/>
        </w:rPr>
        <w:t>rovincia</w:t>
      </w:r>
    </w:p>
    <w:p w14:paraId="76BA2B33" w14:textId="615EF79F" w:rsidR="00365772" w:rsidRDefault="00365772" w:rsidP="00365772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Presidente Tullio Manetta</w:t>
      </w:r>
    </w:p>
    <w:p w14:paraId="134E671B" w14:textId="41D63034" w:rsidR="00E36774" w:rsidRDefault="00E36774" w:rsidP="00365772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510419F9" w14:textId="2565528E" w:rsidR="00E36774" w:rsidRDefault="00E36774" w:rsidP="00365772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3B1CD70C" w14:textId="586E9CA6" w:rsidR="00E36774" w:rsidRPr="00AB7C17" w:rsidRDefault="00E36774" w:rsidP="00E36774">
      <w:pPr>
        <w:jc w:val="left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___________________________________</w:t>
      </w:r>
    </w:p>
    <w:sectPr w:rsidR="00E36774" w:rsidRPr="00AB7C17" w:rsidSect="005C32BF">
      <w:footerReference w:type="default" r:id="rId14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E874" w14:textId="77777777" w:rsidR="004B61EA" w:rsidRDefault="004B61EA">
      <w:r>
        <w:separator/>
      </w:r>
    </w:p>
  </w:endnote>
  <w:endnote w:type="continuationSeparator" w:id="0">
    <w:p w14:paraId="37A2440C" w14:textId="77777777" w:rsidR="004B61EA" w:rsidRDefault="004B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8D52" w14:textId="77777777" w:rsidR="00C545B0" w:rsidRDefault="00C545B0">
    <w:pPr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8E8CE5" wp14:editId="07C0120C">
              <wp:simplePos x="0" y="0"/>
              <wp:positionH relativeFrom="page">
                <wp:posOffset>6704330</wp:posOffset>
              </wp:positionH>
              <wp:positionV relativeFrom="page">
                <wp:posOffset>9979025</wp:posOffset>
              </wp:positionV>
              <wp:extent cx="137160" cy="21145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1C91" w14:textId="77777777" w:rsidR="00C545B0" w:rsidRDefault="00C545B0">
                          <w:pPr>
                            <w:spacing w:before="11"/>
                            <w:ind w:left="51" w:right="-20"/>
                            <w:rPr>
                              <w:rFonts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color w:val="151513"/>
                              <w:w w:val="10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22F">
                            <w:rPr>
                              <w:rFonts w:eastAsia="Times New Roman" w:cs="Times New Roman"/>
                              <w:noProof/>
                              <w:color w:val="151513"/>
                              <w:w w:val="105"/>
                              <w:sz w:val="21"/>
                              <w:szCs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8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7.9pt;margin-top:785.75pt;width:10.8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N85AEAALUDAAAOAAAAZHJzL2Uyb0RvYy54bWysU9tu1DAQfUfiHyy/s9kstKBos1VpVYRU&#10;KFLLBziOnVjEHjP2brJ8PWNnsxR4Q7xYk7mcOXNmsr2a7MAOCoMBV/NyteZMOQmtcV3Nvz7dvXrH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" filled="f" stroked="f">
              <v:textbox inset="0,0,0,0">
                <w:txbxContent>
                  <w:p w14:paraId="6E811C91" w14:textId="77777777" w:rsidR="00C545B0" w:rsidRDefault="00C545B0">
                    <w:pPr>
                      <w:spacing w:before="11"/>
                      <w:ind w:left="51" w:right="-20"/>
                      <w:rPr>
                        <w:rFonts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eastAsia="Times New Roman" w:cs="Times New Roman"/>
                        <w:color w:val="151513"/>
                        <w:w w:val="105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22F">
                      <w:rPr>
                        <w:rFonts w:eastAsia="Times New Roman" w:cs="Times New Roman"/>
                        <w:noProof/>
                        <w:color w:val="151513"/>
                        <w:w w:val="105"/>
                        <w:sz w:val="21"/>
                        <w:szCs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4900" w14:textId="77777777" w:rsidR="004B61EA" w:rsidRDefault="004B61EA">
      <w:r>
        <w:separator/>
      </w:r>
    </w:p>
  </w:footnote>
  <w:footnote w:type="continuationSeparator" w:id="0">
    <w:p w14:paraId="5DF01C01" w14:textId="77777777" w:rsidR="004B61EA" w:rsidRDefault="004B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D2D"/>
    <w:multiLevelType w:val="hybridMultilevel"/>
    <w:tmpl w:val="DCE82C3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9C5D6D"/>
    <w:multiLevelType w:val="hybridMultilevel"/>
    <w:tmpl w:val="18328FB6"/>
    <w:lvl w:ilvl="0" w:tplc="7DB4C97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A304E8"/>
    <w:multiLevelType w:val="hybridMultilevel"/>
    <w:tmpl w:val="E24AE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5638D"/>
    <w:multiLevelType w:val="multilevel"/>
    <w:tmpl w:val="AA923EE0"/>
    <w:lvl w:ilvl="0">
      <w:numFmt w:val="bullet"/>
      <w:lvlText w:val="˗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FC"/>
    <w:rsid w:val="00001B43"/>
    <w:rsid w:val="00007840"/>
    <w:rsid w:val="00017B3B"/>
    <w:rsid w:val="00037FD6"/>
    <w:rsid w:val="000646D1"/>
    <w:rsid w:val="000660E9"/>
    <w:rsid w:val="00082D88"/>
    <w:rsid w:val="000F1407"/>
    <w:rsid w:val="000F4467"/>
    <w:rsid w:val="000F5C31"/>
    <w:rsid w:val="000F76AC"/>
    <w:rsid w:val="00165A53"/>
    <w:rsid w:val="001808ED"/>
    <w:rsid w:val="001B5B33"/>
    <w:rsid w:val="001F1CC3"/>
    <w:rsid w:val="001F56FE"/>
    <w:rsid w:val="00205A9F"/>
    <w:rsid w:val="00224417"/>
    <w:rsid w:val="00240C73"/>
    <w:rsid w:val="0027230F"/>
    <w:rsid w:val="002838AE"/>
    <w:rsid w:val="00295B1B"/>
    <w:rsid w:val="002A309E"/>
    <w:rsid w:val="002B6CA1"/>
    <w:rsid w:val="002C2FD0"/>
    <w:rsid w:val="002D112C"/>
    <w:rsid w:val="002F2758"/>
    <w:rsid w:val="0030105B"/>
    <w:rsid w:val="00302A30"/>
    <w:rsid w:val="0030522F"/>
    <w:rsid w:val="00310923"/>
    <w:rsid w:val="00311E92"/>
    <w:rsid w:val="00337884"/>
    <w:rsid w:val="00365772"/>
    <w:rsid w:val="00385D45"/>
    <w:rsid w:val="00390AF8"/>
    <w:rsid w:val="00391A15"/>
    <w:rsid w:val="003928B6"/>
    <w:rsid w:val="00396798"/>
    <w:rsid w:val="003A02DB"/>
    <w:rsid w:val="003A1C6E"/>
    <w:rsid w:val="003A4B98"/>
    <w:rsid w:val="003B06F2"/>
    <w:rsid w:val="003B38D6"/>
    <w:rsid w:val="003C5607"/>
    <w:rsid w:val="003C7104"/>
    <w:rsid w:val="0043242C"/>
    <w:rsid w:val="00455D47"/>
    <w:rsid w:val="00494A94"/>
    <w:rsid w:val="00497E88"/>
    <w:rsid w:val="004A352A"/>
    <w:rsid w:val="004B61EA"/>
    <w:rsid w:val="004C58EC"/>
    <w:rsid w:val="004D4212"/>
    <w:rsid w:val="004D59CA"/>
    <w:rsid w:val="004E0E47"/>
    <w:rsid w:val="004F04CD"/>
    <w:rsid w:val="004F2EB1"/>
    <w:rsid w:val="004F4EDD"/>
    <w:rsid w:val="004F58F0"/>
    <w:rsid w:val="00516EF3"/>
    <w:rsid w:val="00521F38"/>
    <w:rsid w:val="00535B75"/>
    <w:rsid w:val="00537E3D"/>
    <w:rsid w:val="005464D6"/>
    <w:rsid w:val="0055029F"/>
    <w:rsid w:val="00555955"/>
    <w:rsid w:val="00557F14"/>
    <w:rsid w:val="00574AEA"/>
    <w:rsid w:val="005837DA"/>
    <w:rsid w:val="0059080A"/>
    <w:rsid w:val="005A1AA7"/>
    <w:rsid w:val="005C32BF"/>
    <w:rsid w:val="005C604D"/>
    <w:rsid w:val="005C6B65"/>
    <w:rsid w:val="005C7C5E"/>
    <w:rsid w:val="005E5E2E"/>
    <w:rsid w:val="006050B4"/>
    <w:rsid w:val="006177DB"/>
    <w:rsid w:val="006245EF"/>
    <w:rsid w:val="00635A4A"/>
    <w:rsid w:val="00650140"/>
    <w:rsid w:val="00653EE6"/>
    <w:rsid w:val="006643DD"/>
    <w:rsid w:val="0069172F"/>
    <w:rsid w:val="006B2BFD"/>
    <w:rsid w:val="006D2951"/>
    <w:rsid w:val="006D65CB"/>
    <w:rsid w:val="006F2997"/>
    <w:rsid w:val="006F634E"/>
    <w:rsid w:val="0070207D"/>
    <w:rsid w:val="0071342A"/>
    <w:rsid w:val="00731124"/>
    <w:rsid w:val="00741B13"/>
    <w:rsid w:val="00756556"/>
    <w:rsid w:val="00782A49"/>
    <w:rsid w:val="007879C0"/>
    <w:rsid w:val="007A2022"/>
    <w:rsid w:val="007B3E5D"/>
    <w:rsid w:val="007D1C2D"/>
    <w:rsid w:val="007D6813"/>
    <w:rsid w:val="008040F3"/>
    <w:rsid w:val="00834E1A"/>
    <w:rsid w:val="00836468"/>
    <w:rsid w:val="008522E9"/>
    <w:rsid w:val="00856BE0"/>
    <w:rsid w:val="00861972"/>
    <w:rsid w:val="0086670D"/>
    <w:rsid w:val="00872424"/>
    <w:rsid w:val="00895C68"/>
    <w:rsid w:val="008A346F"/>
    <w:rsid w:val="008A58BD"/>
    <w:rsid w:val="008B6C60"/>
    <w:rsid w:val="008C38BC"/>
    <w:rsid w:val="008E19EE"/>
    <w:rsid w:val="00913265"/>
    <w:rsid w:val="009237CE"/>
    <w:rsid w:val="009247FC"/>
    <w:rsid w:val="0093309D"/>
    <w:rsid w:val="00946EF7"/>
    <w:rsid w:val="009516D7"/>
    <w:rsid w:val="009530E2"/>
    <w:rsid w:val="00953932"/>
    <w:rsid w:val="00955E9B"/>
    <w:rsid w:val="009730AD"/>
    <w:rsid w:val="009863AC"/>
    <w:rsid w:val="00992FCA"/>
    <w:rsid w:val="009A193E"/>
    <w:rsid w:val="009B15A7"/>
    <w:rsid w:val="009B174E"/>
    <w:rsid w:val="009B54FF"/>
    <w:rsid w:val="009C09E5"/>
    <w:rsid w:val="009F513D"/>
    <w:rsid w:val="00A37282"/>
    <w:rsid w:val="00A379AB"/>
    <w:rsid w:val="00A51EB2"/>
    <w:rsid w:val="00A70268"/>
    <w:rsid w:val="00A8132A"/>
    <w:rsid w:val="00AB64FF"/>
    <w:rsid w:val="00AB7C17"/>
    <w:rsid w:val="00AF20EE"/>
    <w:rsid w:val="00B14FAB"/>
    <w:rsid w:val="00B155E9"/>
    <w:rsid w:val="00B25567"/>
    <w:rsid w:val="00B4616B"/>
    <w:rsid w:val="00B66B9A"/>
    <w:rsid w:val="00B77C68"/>
    <w:rsid w:val="00B86289"/>
    <w:rsid w:val="00BB13B9"/>
    <w:rsid w:val="00BB2DD2"/>
    <w:rsid w:val="00BC3D1E"/>
    <w:rsid w:val="00BC6430"/>
    <w:rsid w:val="00BD599D"/>
    <w:rsid w:val="00C06D92"/>
    <w:rsid w:val="00C4606A"/>
    <w:rsid w:val="00C545B0"/>
    <w:rsid w:val="00C74C48"/>
    <w:rsid w:val="00CC2DCD"/>
    <w:rsid w:val="00CD1A89"/>
    <w:rsid w:val="00CE325D"/>
    <w:rsid w:val="00CF2BC4"/>
    <w:rsid w:val="00CF53D1"/>
    <w:rsid w:val="00D02280"/>
    <w:rsid w:val="00D12C8C"/>
    <w:rsid w:val="00D51734"/>
    <w:rsid w:val="00DD1C60"/>
    <w:rsid w:val="00E36774"/>
    <w:rsid w:val="00E50344"/>
    <w:rsid w:val="00E505F1"/>
    <w:rsid w:val="00E6032F"/>
    <w:rsid w:val="00E84EBC"/>
    <w:rsid w:val="00E924F0"/>
    <w:rsid w:val="00E947D7"/>
    <w:rsid w:val="00EA3649"/>
    <w:rsid w:val="00EB49D5"/>
    <w:rsid w:val="00EC38CE"/>
    <w:rsid w:val="00EE1CBA"/>
    <w:rsid w:val="00EE6C54"/>
    <w:rsid w:val="00EF1DA1"/>
    <w:rsid w:val="00F0775B"/>
    <w:rsid w:val="00F5085D"/>
    <w:rsid w:val="00F70E19"/>
    <w:rsid w:val="00F86C62"/>
    <w:rsid w:val="00FB1F87"/>
    <w:rsid w:val="00FB5058"/>
    <w:rsid w:val="00FC3F0C"/>
    <w:rsid w:val="00FD39F6"/>
    <w:rsid w:val="00FD5258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2A8"/>
  <w15:chartTrackingRefBased/>
  <w15:docId w15:val="{F5CA82C5-16D1-4FCF-A174-81D28032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6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0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05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E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2C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reteria.direzione@cassaedilediroma.it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cefmectp.it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1448F-AC74-490C-A241-F557604EB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6330D-9166-4D23-AAF1-A9DE39BF84AE}"/>
</file>

<file path=customXml/itemProps3.xml><?xml version="1.0" encoding="utf-8"?>
<ds:datastoreItem xmlns:ds="http://schemas.openxmlformats.org/officeDocument/2006/customXml" ds:itemID="{80CAE74A-6EEA-4EFC-B4FA-7695FE3E5253}"/>
</file>

<file path=customXml/itemProps4.xml><?xml version="1.0" encoding="utf-8"?>
<ds:datastoreItem xmlns:ds="http://schemas.openxmlformats.org/officeDocument/2006/customXml" ds:itemID="{3868208E-D063-4E07-A897-D67F243D9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Fedeli</dc:creator>
  <cp:keywords/>
  <dc:description/>
  <cp:lastModifiedBy>Delli Bovi Valeria</cp:lastModifiedBy>
  <cp:revision>2</cp:revision>
  <cp:lastPrinted>2021-05-25T17:30:00Z</cp:lastPrinted>
  <dcterms:created xsi:type="dcterms:W3CDTF">2021-06-04T10:06:00Z</dcterms:created>
  <dcterms:modified xsi:type="dcterms:W3CDTF">2021-06-04T10:06:00Z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